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3255E7" w14:textId="238AC141" w:rsidR="00FB217C" w:rsidRPr="00400F36" w:rsidRDefault="00FB217C" w:rsidP="00FB217C">
      <w:pPr>
        <w:rPr>
          <w:rFonts w:eastAsiaTheme="minorHAnsi" w:cs="Arial"/>
          <w:b w:val="0"/>
          <w:lang w:val="it-IT"/>
        </w:rPr>
      </w:pPr>
      <w:r w:rsidRPr="00400F36">
        <w:rPr>
          <w:rFonts w:eastAsiaTheme="minorHAnsi" w:cs="Arial"/>
          <w:b w:val="0"/>
          <w:lang w:val="it-IT"/>
        </w:rPr>
        <w:t>Bucaramanga,</w:t>
      </w:r>
    </w:p>
    <w:p w14:paraId="61663B80" w14:textId="77777777" w:rsidR="00FB217C" w:rsidRPr="00400F36" w:rsidRDefault="00FB217C" w:rsidP="00FB217C">
      <w:pPr>
        <w:jc w:val="both"/>
        <w:rPr>
          <w:rFonts w:cs="Arial"/>
          <w:b w:val="0"/>
          <w:lang w:val="it-IT"/>
        </w:rPr>
      </w:pPr>
    </w:p>
    <w:p w14:paraId="2A0588A6" w14:textId="77777777" w:rsidR="00FB217C" w:rsidRPr="00400F36" w:rsidRDefault="00FB217C" w:rsidP="00FB217C">
      <w:pPr>
        <w:jc w:val="both"/>
        <w:rPr>
          <w:rFonts w:cs="Arial"/>
          <w:b w:val="0"/>
          <w:lang w:val="it-IT"/>
        </w:rPr>
      </w:pPr>
      <w:r w:rsidRPr="00400F36">
        <w:rPr>
          <w:rFonts w:cs="Arial"/>
          <w:b w:val="0"/>
          <w:lang w:val="it-IT"/>
        </w:rPr>
        <w:t>Señora</w:t>
      </w:r>
    </w:p>
    <w:p w14:paraId="31581867" w14:textId="60FB2B35" w:rsidR="00FB217C" w:rsidRDefault="0038156F" w:rsidP="00FB217C">
      <w:pPr>
        <w:jc w:val="both"/>
        <w:rPr>
          <w:rFonts w:cs="Arial"/>
          <w:bCs/>
          <w:lang w:val="it-IT"/>
        </w:rPr>
      </w:pPr>
      <w:r w:rsidRPr="00E82B63">
        <w:rPr>
          <w:rFonts w:cs="Arial"/>
          <w:bCs/>
          <w:lang w:val="it-IT"/>
        </w:rPr>
        <w:t>LEIDY JOHANNA</w:t>
      </w:r>
      <w:r w:rsidR="00E82B63" w:rsidRPr="00E82B63">
        <w:rPr>
          <w:rFonts w:cs="Arial"/>
          <w:bCs/>
          <w:lang w:val="it-IT"/>
        </w:rPr>
        <w:t xml:space="preserve"> BARBOSA</w:t>
      </w:r>
      <w:r w:rsidR="00E82B63">
        <w:rPr>
          <w:rFonts w:cs="Arial"/>
          <w:bCs/>
          <w:lang w:val="it-IT"/>
        </w:rPr>
        <w:t xml:space="preserve"> PINTO</w:t>
      </w:r>
    </w:p>
    <w:p w14:paraId="34CA3D51" w14:textId="6AC0D075" w:rsidR="00E82B63" w:rsidRPr="00400F36" w:rsidRDefault="00E82B63" w:rsidP="00FB217C">
      <w:pPr>
        <w:jc w:val="both"/>
        <w:rPr>
          <w:rFonts w:cs="Arial"/>
          <w:bCs/>
        </w:rPr>
      </w:pPr>
      <w:r w:rsidRPr="00400F36">
        <w:rPr>
          <w:rFonts w:cs="Arial"/>
          <w:bCs/>
        </w:rPr>
        <w:t>Secretaria</w:t>
      </w:r>
    </w:p>
    <w:p w14:paraId="56602093" w14:textId="368D5CB6" w:rsidR="00E82B63" w:rsidRDefault="00E82B63" w:rsidP="00FB217C">
      <w:pPr>
        <w:jc w:val="both"/>
        <w:rPr>
          <w:rFonts w:cs="Arial"/>
          <w:b w:val="0"/>
        </w:rPr>
      </w:pPr>
      <w:r w:rsidRPr="00501D6B">
        <w:rPr>
          <w:rFonts w:cs="Arial"/>
          <w:b w:val="0"/>
        </w:rPr>
        <w:t>Juzgado</w:t>
      </w:r>
      <w:r w:rsidR="00501D6B" w:rsidRPr="00501D6B">
        <w:rPr>
          <w:rFonts w:cs="Arial"/>
          <w:b w:val="0"/>
        </w:rPr>
        <w:t xml:space="preserve"> Municipal Promiscuo</w:t>
      </w:r>
      <w:r w:rsidR="00501D6B">
        <w:rPr>
          <w:rFonts w:cs="Arial"/>
          <w:b w:val="0"/>
        </w:rPr>
        <w:t>.</w:t>
      </w:r>
    </w:p>
    <w:p w14:paraId="53033A3F" w14:textId="55D05750" w:rsidR="00F13159" w:rsidRDefault="00F13159" w:rsidP="00FB217C">
      <w:pPr>
        <w:jc w:val="both"/>
        <w:rPr>
          <w:rFonts w:cs="Arial"/>
          <w:b w:val="0"/>
        </w:rPr>
      </w:pPr>
      <w:r>
        <w:rPr>
          <w:rFonts w:cs="Arial"/>
          <w:b w:val="0"/>
        </w:rPr>
        <w:t xml:space="preserve">Correo: </w:t>
      </w:r>
      <w:hyperlink r:id="rId8" w:history="1">
        <w:r w:rsidR="00030EF5" w:rsidRPr="007A5D1D">
          <w:rPr>
            <w:rStyle w:val="Hipervnculo"/>
            <w:rFonts w:cs="Arial"/>
            <w:b w:val="0"/>
          </w:rPr>
          <w:t>j01prmpalpayon@cendoj.ramajudicial.gov.co</w:t>
        </w:r>
      </w:hyperlink>
      <w:r w:rsidR="00030EF5">
        <w:rPr>
          <w:rFonts w:cs="Arial"/>
          <w:b w:val="0"/>
        </w:rPr>
        <w:t>.</w:t>
      </w:r>
    </w:p>
    <w:p w14:paraId="7A129BD5" w14:textId="01771FEA" w:rsidR="006222F9" w:rsidRDefault="006222F9" w:rsidP="00FB217C">
      <w:pPr>
        <w:jc w:val="both"/>
        <w:rPr>
          <w:rFonts w:cs="Arial"/>
          <w:b w:val="0"/>
        </w:rPr>
      </w:pPr>
      <w:r>
        <w:rPr>
          <w:rFonts w:cs="Arial"/>
          <w:b w:val="0"/>
        </w:rPr>
        <w:t xml:space="preserve">Calle 11 </w:t>
      </w:r>
      <w:proofErr w:type="spellStart"/>
      <w:r>
        <w:rPr>
          <w:rFonts w:cs="Arial"/>
          <w:b w:val="0"/>
        </w:rPr>
        <w:t>N°</w:t>
      </w:r>
      <w:proofErr w:type="spellEnd"/>
      <w:r>
        <w:rPr>
          <w:rFonts w:cs="Arial"/>
          <w:b w:val="0"/>
        </w:rPr>
        <w:t xml:space="preserve"> 5-29</w:t>
      </w:r>
    </w:p>
    <w:p w14:paraId="3FB0310F" w14:textId="471B150E" w:rsidR="00501D6B" w:rsidRDefault="00501D6B" w:rsidP="00FB217C">
      <w:pPr>
        <w:jc w:val="both"/>
        <w:rPr>
          <w:rFonts w:cs="Arial"/>
          <w:b w:val="0"/>
        </w:rPr>
      </w:pPr>
      <w:r>
        <w:rPr>
          <w:rFonts w:cs="Arial"/>
          <w:b w:val="0"/>
        </w:rPr>
        <w:t>El Playón, Santander.</w:t>
      </w:r>
    </w:p>
    <w:p w14:paraId="27E3DF07" w14:textId="77777777" w:rsidR="00501D6B" w:rsidRPr="00501D6B" w:rsidRDefault="00501D6B" w:rsidP="00FB217C">
      <w:pPr>
        <w:jc w:val="both"/>
        <w:rPr>
          <w:rFonts w:cs="Arial"/>
          <w:b w:val="0"/>
        </w:rPr>
      </w:pPr>
    </w:p>
    <w:p w14:paraId="5B5113F6" w14:textId="77777777" w:rsidR="00FB217C" w:rsidRPr="00501D6B" w:rsidRDefault="00FB217C" w:rsidP="00FB217C">
      <w:pPr>
        <w:jc w:val="both"/>
        <w:rPr>
          <w:rFonts w:cs="Arial"/>
          <w:b w:val="0"/>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4A0" w:firstRow="1" w:lastRow="0" w:firstColumn="1" w:lastColumn="0" w:noHBand="0" w:noVBand="1"/>
      </w:tblPr>
      <w:tblGrid>
        <w:gridCol w:w="887"/>
        <w:gridCol w:w="8327"/>
      </w:tblGrid>
      <w:tr w:rsidR="00FB217C" w14:paraId="51DBD9C7" w14:textId="77777777" w:rsidTr="00FB217C">
        <w:tc>
          <w:tcPr>
            <w:tcW w:w="887" w:type="dxa"/>
          </w:tcPr>
          <w:p w14:paraId="5077B3EF" w14:textId="77777777" w:rsidR="00FB217C" w:rsidRPr="00820481" w:rsidRDefault="00FB217C" w:rsidP="00882749">
            <w:pPr>
              <w:jc w:val="both"/>
              <w:rPr>
                <w:rFonts w:cs="Arial"/>
                <w:bCs/>
              </w:rPr>
            </w:pPr>
            <w:r w:rsidRPr="00820481">
              <w:rPr>
                <w:rFonts w:cs="Arial"/>
                <w:bCs/>
              </w:rPr>
              <w:t>Asunto:</w:t>
            </w:r>
          </w:p>
        </w:tc>
        <w:tc>
          <w:tcPr>
            <w:tcW w:w="8327" w:type="dxa"/>
          </w:tcPr>
          <w:p w14:paraId="1B3EC36C" w14:textId="7BA3E2C7" w:rsidR="00FB217C" w:rsidRDefault="00FB217C" w:rsidP="00882749">
            <w:pPr>
              <w:jc w:val="both"/>
              <w:rPr>
                <w:rFonts w:cs="Arial"/>
                <w:b w:val="0"/>
              </w:rPr>
            </w:pPr>
            <w:r>
              <w:rPr>
                <w:rFonts w:cs="Arial"/>
                <w:b w:val="0"/>
              </w:rPr>
              <w:t xml:space="preserve">Respuesta a radicado CDMB </w:t>
            </w:r>
            <w:proofErr w:type="spellStart"/>
            <w:r>
              <w:rPr>
                <w:rFonts w:cs="Arial"/>
                <w:b w:val="0"/>
              </w:rPr>
              <w:t>N°</w:t>
            </w:r>
            <w:proofErr w:type="spellEnd"/>
            <w:r>
              <w:rPr>
                <w:rFonts w:cs="Arial"/>
                <w:b w:val="0"/>
              </w:rPr>
              <w:t xml:space="preserve"> </w:t>
            </w:r>
            <w:r w:rsidR="00711ED2">
              <w:rPr>
                <w:rFonts w:cs="Arial"/>
                <w:b w:val="0"/>
              </w:rPr>
              <w:t>7784</w:t>
            </w:r>
            <w:r>
              <w:rPr>
                <w:rFonts w:cs="Arial"/>
                <w:b w:val="0"/>
              </w:rPr>
              <w:t xml:space="preserve"> de </w:t>
            </w:r>
            <w:r w:rsidR="003C3203">
              <w:rPr>
                <w:rFonts w:cs="Arial"/>
                <w:b w:val="0"/>
              </w:rPr>
              <w:t>17</w:t>
            </w:r>
            <w:r>
              <w:rPr>
                <w:rFonts w:cs="Arial"/>
                <w:b w:val="0"/>
              </w:rPr>
              <w:t xml:space="preserve"> de abril de 202</w:t>
            </w:r>
            <w:r w:rsidR="003C3203">
              <w:rPr>
                <w:rFonts w:cs="Arial"/>
                <w:b w:val="0"/>
              </w:rPr>
              <w:t>6</w:t>
            </w:r>
            <w:r w:rsidRPr="00820481">
              <w:rPr>
                <w:rFonts w:cs="Arial"/>
                <w:b w:val="0"/>
              </w:rPr>
              <w:t>,</w:t>
            </w:r>
            <w:r>
              <w:rPr>
                <w:rFonts w:cs="Arial"/>
                <w:b w:val="0"/>
              </w:rPr>
              <w:t xml:space="preserve"> solicitud zonificación ambiental predio</w:t>
            </w:r>
            <w:r w:rsidR="001E4BF4">
              <w:rPr>
                <w:rFonts w:cs="Arial"/>
                <w:b w:val="0"/>
              </w:rPr>
              <w:t xml:space="preserve"> identificado con código catastral</w:t>
            </w:r>
            <w:r>
              <w:rPr>
                <w:rFonts w:cs="Arial"/>
                <w:b w:val="0"/>
              </w:rPr>
              <w:t xml:space="preserve"> </w:t>
            </w:r>
            <w:r w:rsidRPr="00672605">
              <w:rPr>
                <w:rFonts w:cs="Arial"/>
                <w:b w:val="0"/>
              </w:rPr>
              <w:t>00-01-00</w:t>
            </w:r>
            <w:r w:rsidR="00CB6F39">
              <w:rPr>
                <w:rFonts w:cs="Arial"/>
                <w:b w:val="0"/>
              </w:rPr>
              <w:t>07</w:t>
            </w:r>
            <w:r w:rsidRPr="00672605">
              <w:rPr>
                <w:rFonts w:cs="Arial"/>
                <w:b w:val="0"/>
              </w:rPr>
              <w:t>-0</w:t>
            </w:r>
            <w:r w:rsidR="00BC071E">
              <w:rPr>
                <w:rFonts w:cs="Arial"/>
                <w:b w:val="0"/>
              </w:rPr>
              <w:t>110</w:t>
            </w:r>
            <w:r w:rsidRPr="00672605">
              <w:rPr>
                <w:rFonts w:cs="Arial"/>
                <w:b w:val="0"/>
              </w:rPr>
              <w:t>-000</w:t>
            </w:r>
            <w:r>
              <w:rPr>
                <w:rFonts w:cs="Arial"/>
                <w:b w:val="0"/>
              </w:rPr>
              <w:t xml:space="preserve"> </w:t>
            </w:r>
            <w:r w:rsidR="00BC071E">
              <w:rPr>
                <w:rFonts w:cs="Arial"/>
                <w:b w:val="0"/>
              </w:rPr>
              <w:t xml:space="preserve">y matricula inmobiliaria </w:t>
            </w:r>
            <w:proofErr w:type="spellStart"/>
            <w:r w:rsidR="00050BA5">
              <w:rPr>
                <w:rFonts w:cs="Arial"/>
                <w:b w:val="0"/>
              </w:rPr>
              <w:t>N°</w:t>
            </w:r>
            <w:proofErr w:type="spellEnd"/>
            <w:r w:rsidR="00050BA5">
              <w:rPr>
                <w:rFonts w:cs="Arial"/>
                <w:b w:val="0"/>
              </w:rPr>
              <w:t xml:space="preserve"> </w:t>
            </w:r>
            <w:r w:rsidR="00FD2F73">
              <w:rPr>
                <w:rFonts w:cs="Arial"/>
                <w:b w:val="0"/>
              </w:rPr>
              <w:t>300-</w:t>
            </w:r>
            <w:r w:rsidR="00BF6B47">
              <w:rPr>
                <w:rFonts w:cs="Arial"/>
                <w:b w:val="0"/>
              </w:rPr>
              <w:t>82201, Municipio</w:t>
            </w:r>
            <w:r w:rsidR="00A56DEC">
              <w:rPr>
                <w:rFonts w:cs="Arial"/>
                <w:b w:val="0"/>
              </w:rPr>
              <w:t xml:space="preserve"> </w:t>
            </w:r>
            <w:r w:rsidR="00AC7BEF">
              <w:rPr>
                <w:rFonts w:cs="Arial"/>
                <w:b w:val="0"/>
              </w:rPr>
              <w:t>El Playón</w:t>
            </w:r>
            <w:r>
              <w:rPr>
                <w:rFonts w:cs="Arial"/>
                <w:b w:val="0"/>
              </w:rPr>
              <w:t>, Santander.</w:t>
            </w:r>
          </w:p>
        </w:tc>
      </w:tr>
    </w:tbl>
    <w:p w14:paraId="7A3E956F" w14:textId="77777777" w:rsidR="00FB217C" w:rsidRDefault="00FB217C" w:rsidP="00FB217C">
      <w:pPr>
        <w:jc w:val="both"/>
        <w:rPr>
          <w:rFonts w:cs="Arial"/>
          <w:b w:val="0"/>
        </w:rPr>
      </w:pPr>
    </w:p>
    <w:p w14:paraId="4DF7C3FA" w14:textId="77777777" w:rsidR="00FB217C" w:rsidRPr="00400F36" w:rsidRDefault="00FB217C" w:rsidP="00FB217C">
      <w:pPr>
        <w:jc w:val="both"/>
        <w:rPr>
          <w:rFonts w:cs="Arial"/>
          <w:b w:val="0"/>
          <w:sz w:val="20"/>
          <w:szCs w:val="20"/>
        </w:rPr>
      </w:pPr>
      <w:r w:rsidRPr="00400F36">
        <w:rPr>
          <w:rFonts w:cs="Arial"/>
          <w:b w:val="0"/>
          <w:sz w:val="20"/>
          <w:szCs w:val="20"/>
        </w:rPr>
        <w:t>Cordial Saludo,</w:t>
      </w:r>
    </w:p>
    <w:p w14:paraId="35262304" w14:textId="77777777" w:rsidR="00FB217C" w:rsidRPr="00400F36" w:rsidRDefault="00FB217C" w:rsidP="00FB217C">
      <w:pPr>
        <w:jc w:val="both"/>
        <w:rPr>
          <w:rFonts w:cs="Arial"/>
          <w:b w:val="0"/>
          <w:sz w:val="20"/>
          <w:szCs w:val="20"/>
        </w:rPr>
      </w:pPr>
    </w:p>
    <w:p w14:paraId="131A1816" w14:textId="42965C69" w:rsidR="00FB217C" w:rsidRPr="00400F36" w:rsidRDefault="00FB217C" w:rsidP="00FB217C">
      <w:pPr>
        <w:jc w:val="both"/>
        <w:rPr>
          <w:rFonts w:cs="Arial"/>
          <w:b w:val="0"/>
          <w:sz w:val="20"/>
          <w:szCs w:val="20"/>
        </w:rPr>
      </w:pPr>
      <w:r w:rsidRPr="00400F36">
        <w:rPr>
          <w:rFonts w:cs="Arial"/>
          <w:b w:val="0"/>
          <w:sz w:val="20"/>
          <w:szCs w:val="20"/>
        </w:rPr>
        <w:t xml:space="preserve">En atención a la comunicación enunciada en el asunto y desde el marco de las competencias de la Subdirección de Ordenamiento y Planificación Integral del Territorio, consultada la información cartográfica del archivo predial del Instituto geográfico Agustín Codazzi – IGAC descargado de la página web del IGAC datos abiertos datos abiertos marzo de 2024 y de acuerdo a la cartografía suministrada por el Sistema de Información Geográfica de la entidad </w:t>
      </w:r>
      <w:r w:rsidRPr="001620EA">
        <w:rPr>
          <w:rFonts w:cs="Arial"/>
          <w:bCs/>
          <w:sz w:val="20"/>
          <w:szCs w:val="20"/>
        </w:rPr>
        <w:t>(ver mapa anexo</w:t>
      </w:r>
      <w:r w:rsidR="00664A5B" w:rsidRPr="001620EA">
        <w:rPr>
          <w:rFonts w:cs="Arial"/>
          <w:bCs/>
          <w:sz w:val="20"/>
          <w:szCs w:val="20"/>
        </w:rPr>
        <w:t xml:space="preserve"> N°1</w:t>
      </w:r>
      <w:r w:rsidRPr="001620EA">
        <w:rPr>
          <w:rFonts w:cs="Arial"/>
          <w:bCs/>
          <w:sz w:val="20"/>
          <w:szCs w:val="20"/>
        </w:rPr>
        <w:t>)</w:t>
      </w:r>
      <w:r w:rsidRPr="00400F36">
        <w:rPr>
          <w:rFonts w:cs="Arial"/>
          <w:b w:val="0"/>
          <w:sz w:val="20"/>
          <w:szCs w:val="20"/>
        </w:rPr>
        <w:t xml:space="preserve">, </w:t>
      </w:r>
      <w:r w:rsidR="000C4BBB" w:rsidRPr="00400F36">
        <w:rPr>
          <w:rFonts w:cs="Arial"/>
          <w:b w:val="0"/>
          <w:sz w:val="20"/>
          <w:szCs w:val="20"/>
        </w:rPr>
        <w:t xml:space="preserve">predio identificado con código catastral 00-01-0007-0110-000 y matricula inmobiliaria </w:t>
      </w:r>
      <w:proofErr w:type="spellStart"/>
      <w:r w:rsidR="000C4BBB" w:rsidRPr="00400F36">
        <w:rPr>
          <w:rFonts w:cs="Arial"/>
          <w:b w:val="0"/>
          <w:sz w:val="20"/>
          <w:szCs w:val="20"/>
        </w:rPr>
        <w:t>N°</w:t>
      </w:r>
      <w:proofErr w:type="spellEnd"/>
      <w:r w:rsidR="000C4BBB" w:rsidRPr="00400F36">
        <w:rPr>
          <w:rFonts w:cs="Arial"/>
          <w:b w:val="0"/>
          <w:sz w:val="20"/>
          <w:szCs w:val="20"/>
        </w:rPr>
        <w:t xml:space="preserve"> 300-82201, Municipio El Playón, Santander, </w:t>
      </w:r>
      <w:r w:rsidRPr="00400F36">
        <w:rPr>
          <w:rFonts w:cs="Arial"/>
          <w:b w:val="0"/>
          <w:sz w:val="20"/>
          <w:szCs w:val="20"/>
        </w:rPr>
        <w:t xml:space="preserve">se encuentra reglamentado según la Zonificación Ambiental del POMCA RIO LEBRIJA MEDIO, adoptado mediante Resolución Conjunta CDMB </w:t>
      </w:r>
      <w:proofErr w:type="spellStart"/>
      <w:r w:rsidRPr="00400F36">
        <w:rPr>
          <w:rFonts w:cs="Arial"/>
          <w:b w:val="0"/>
          <w:sz w:val="20"/>
          <w:szCs w:val="20"/>
        </w:rPr>
        <w:t>N°</w:t>
      </w:r>
      <w:proofErr w:type="spellEnd"/>
      <w:r w:rsidRPr="00400F36">
        <w:rPr>
          <w:rFonts w:cs="Arial"/>
          <w:b w:val="0"/>
          <w:sz w:val="20"/>
          <w:szCs w:val="20"/>
        </w:rPr>
        <w:t xml:space="preserve"> 1728 de 27 de diciembre de 2019, CORPONOR </w:t>
      </w:r>
      <w:proofErr w:type="spellStart"/>
      <w:r w:rsidRPr="00400F36">
        <w:rPr>
          <w:rFonts w:cs="Arial"/>
          <w:b w:val="0"/>
          <w:sz w:val="20"/>
          <w:szCs w:val="20"/>
        </w:rPr>
        <w:t>N°</w:t>
      </w:r>
      <w:proofErr w:type="spellEnd"/>
      <w:r w:rsidRPr="00400F36">
        <w:rPr>
          <w:rFonts w:cs="Arial"/>
          <w:b w:val="0"/>
          <w:sz w:val="20"/>
          <w:szCs w:val="20"/>
        </w:rPr>
        <w:t xml:space="preserve"> 1522 de 30 de diciembre de 2019, CAS </w:t>
      </w:r>
      <w:proofErr w:type="spellStart"/>
      <w:r w:rsidRPr="00400F36">
        <w:rPr>
          <w:rFonts w:cs="Arial"/>
          <w:b w:val="0"/>
          <w:sz w:val="20"/>
          <w:szCs w:val="20"/>
        </w:rPr>
        <w:t>N°</w:t>
      </w:r>
      <w:proofErr w:type="spellEnd"/>
      <w:r w:rsidRPr="00400F36">
        <w:rPr>
          <w:rFonts w:cs="Arial"/>
          <w:b w:val="0"/>
          <w:sz w:val="20"/>
          <w:szCs w:val="20"/>
        </w:rPr>
        <w:t xml:space="preserve"> 1117 de 27 de diciembre de 2019, CORPOCESAR </w:t>
      </w:r>
      <w:proofErr w:type="spellStart"/>
      <w:r w:rsidRPr="00400F36">
        <w:rPr>
          <w:rFonts w:cs="Arial"/>
          <w:b w:val="0"/>
          <w:sz w:val="20"/>
          <w:szCs w:val="20"/>
        </w:rPr>
        <w:t>N°</w:t>
      </w:r>
      <w:proofErr w:type="spellEnd"/>
      <w:r w:rsidRPr="00400F36">
        <w:rPr>
          <w:rFonts w:cs="Arial"/>
          <w:b w:val="0"/>
          <w:sz w:val="20"/>
          <w:szCs w:val="20"/>
        </w:rPr>
        <w:t xml:space="preserve"> 1540 de 30 de diciembre de 2019 y se encuentra zonificado de la siguiente manera:</w:t>
      </w:r>
    </w:p>
    <w:p w14:paraId="22162397" w14:textId="77777777" w:rsidR="00314E93" w:rsidRPr="00400F36" w:rsidRDefault="00314E93" w:rsidP="00314E93">
      <w:pPr>
        <w:jc w:val="both"/>
        <w:rPr>
          <w:rFonts w:cs="Arial"/>
          <w:b w:val="0"/>
          <w:sz w:val="20"/>
          <w:szCs w:val="20"/>
        </w:rPr>
      </w:pPr>
    </w:p>
    <w:p w14:paraId="46600E1A" w14:textId="570ED2E7" w:rsidR="00314E93" w:rsidRPr="00400F36" w:rsidRDefault="00314E93" w:rsidP="00314E93">
      <w:pPr>
        <w:ind w:left="360"/>
        <w:jc w:val="center"/>
        <w:rPr>
          <w:rFonts w:cs="Arial"/>
          <w:b w:val="0"/>
          <w:sz w:val="20"/>
          <w:szCs w:val="20"/>
        </w:rPr>
      </w:pPr>
      <w:r w:rsidRPr="00400F36">
        <w:rPr>
          <w:rFonts w:cs="Arial"/>
          <w:sz w:val="20"/>
          <w:szCs w:val="20"/>
        </w:rPr>
        <w:t xml:space="preserve">Tabla 1. </w:t>
      </w:r>
      <w:r w:rsidRPr="00400F36">
        <w:rPr>
          <w:rFonts w:cs="Arial"/>
          <w:b w:val="0"/>
          <w:bCs/>
          <w:sz w:val="20"/>
          <w:szCs w:val="20"/>
        </w:rPr>
        <w:t xml:space="preserve">Zonificación POMCA Lebrija </w:t>
      </w:r>
      <w:r w:rsidR="00574BD4" w:rsidRPr="00400F36">
        <w:rPr>
          <w:rFonts w:cs="Arial"/>
          <w:b w:val="0"/>
          <w:bCs/>
          <w:sz w:val="20"/>
          <w:szCs w:val="20"/>
        </w:rPr>
        <w:t xml:space="preserve">Medio </w:t>
      </w:r>
      <w:r w:rsidRPr="00400F36">
        <w:rPr>
          <w:rFonts w:cs="Arial"/>
          <w:b w:val="0"/>
          <w:bCs/>
          <w:sz w:val="20"/>
          <w:szCs w:val="20"/>
        </w:rPr>
        <w:t xml:space="preserve">Predio </w:t>
      </w:r>
      <w:r w:rsidR="000C4BBB" w:rsidRPr="00400F36">
        <w:rPr>
          <w:rFonts w:cs="Arial"/>
          <w:b w:val="0"/>
          <w:sz w:val="20"/>
          <w:szCs w:val="20"/>
        </w:rPr>
        <w:t>00-01-0007-0110-000</w:t>
      </w:r>
    </w:p>
    <w:p w14:paraId="3D2CBCF8" w14:textId="77777777" w:rsidR="009A0F7D" w:rsidRPr="00254EC7" w:rsidRDefault="009A0F7D" w:rsidP="00314E93">
      <w:pPr>
        <w:ind w:left="360"/>
        <w:jc w:val="center"/>
        <w:rPr>
          <w:rFonts w:cs="Arial"/>
          <w:b w:val="0"/>
          <w:bCs/>
        </w:rPr>
      </w:pPr>
    </w:p>
    <w:tbl>
      <w:tblPr>
        <w:tblStyle w:val="Tablaconcuadrcula2"/>
        <w:tblW w:w="8926" w:type="dxa"/>
        <w:jc w:val="center"/>
        <w:tblLayout w:type="fixed"/>
        <w:tblLook w:val="04A0" w:firstRow="1" w:lastRow="0" w:firstColumn="1" w:lastColumn="0" w:noHBand="0" w:noVBand="1"/>
      </w:tblPr>
      <w:tblGrid>
        <w:gridCol w:w="1271"/>
        <w:gridCol w:w="1418"/>
        <w:gridCol w:w="1275"/>
        <w:gridCol w:w="1418"/>
        <w:gridCol w:w="850"/>
        <w:gridCol w:w="993"/>
        <w:gridCol w:w="850"/>
        <w:gridCol w:w="851"/>
      </w:tblGrid>
      <w:tr w:rsidR="00397B6B" w:rsidRPr="000E2F0E" w14:paraId="0BFE73EA" w14:textId="77777777" w:rsidTr="005C5DC4">
        <w:trPr>
          <w:tblHeader/>
          <w:jc w:val="center"/>
        </w:trPr>
        <w:tc>
          <w:tcPr>
            <w:tcW w:w="8926" w:type="dxa"/>
            <w:gridSpan w:val="8"/>
            <w:vAlign w:val="center"/>
          </w:tcPr>
          <w:p w14:paraId="0D338192" w14:textId="0100E7BA" w:rsidR="00397B6B" w:rsidRPr="000E2F0E" w:rsidRDefault="00397B6B" w:rsidP="00397B6B">
            <w:pPr>
              <w:jc w:val="center"/>
              <w:rPr>
                <w:rFonts w:eastAsiaTheme="minorHAnsi" w:cs="Arial"/>
                <w:bCs/>
                <w:sz w:val="16"/>
                <w:szCs w:val="16"/>
                <w:lang w:val="es-ES"/>
              </w:rPr>
            </w:pPr>
            <w:r w:rsidRPr="000E2F0E">
              <w:rPr>
                <w:rFonts w:eastAsiaTheme="minorHAnsi" w:cs="Arial"/>
                <w:bCs/>
                <w:sz w:val="16"/>
                <w:szCs w:val="16"/>
                <w:lang w:val="es-ES"/>
              </w:rPr>
              <w:t xml:space="preserve">ZONIFICACIÓN AMBIENTAL - CUENCA </w:t>
            </w:r>
            <w:r>
              <w:rPr>
                <w:rFonts w:eastAsiaTheme="minorHAnsi" w:cs="Arial"/>
                <w:bCs/>
                <w:sz w:val="16"/>
                <w:szCs w:val="16"/>
                <w:lang w:val="es-ES"/>
              </w:rPr>
              <w:t>LEBRIJA MEDIO</w:t>
            </w:r>
          </w:p>
        </w:tc>
      </w:tr>
      <w:tr w:rsidR="00397B6B" w:rsidRPr="000E2F0E" w14:paraId="28B35E04" w14:textId="77777777" w:rsidTr="005C5DC4">
        <w:trPr>
          <w:tblHeader/>
          <w:jc w:val="center"/>
        </w:trPr>
        <w:tc>
          <w:tcPr>
            <w:tcW w:w="8926" w:type="dxa"/>
            <w:gridSpan w:val="8"/>
            <w:vAlign w:val="center"/>
          </w:tcPr>
          <w:p w14:paraId="3BB1A27D" w14:textId="45D64B92" w:rsidR="00397B6B" w:rsidRPr="000E2F0E" w:rsidRDefault="00397B6B" w:rsidP="00397B6B">
            <w:pPr>
              <w:jc w:val="center"/>
              <w:rPr>
                <w:rFonts w:eastAsiaTheme="minorHAnsi" w:cs="Arial"/>
                <w:bCs/>
                <w:sz w:val="16"/>
                <w:szCs w:val="16"/>
                <w:lang w:val="es-ES"/>
              </w:rPr>
            </w:pPr>
            <w:r w:rsidRPr="000C4BBB">
              <w:rPr>
                <w:rFonts w:eastAsiaTheme="minorHAnsi" w:cs="Arial"/>
                <w:bCs/>
                <w:sz w:val="16"/>
                <w:szCs w:val="16"/>
              </w:rPr>
              <w:t>00-01-0007-0110-000</w:t>
            </w:r>
          </w:p>
        </w:tc>
      </w:tr>
      <w:tr w:rsidR="007D5D9E" w:rsidRPr="000E2F0E" w14:paraId="03CCF4EA" w14:textId="77777777" w:rsidTr="005C5DC4">
        <w:trPr>
          <w:tblHeader/>
          <w:jc w:val="center"/>
        </w:trPr>
        <w:tc>
          <w:tcPr>
            <w:tcW w:w="1271" w:type="dxa"/>
            <w:vAlign w:val="center"/>
          </w:tcPr>
          <w:p w14:paraId="042A99AC" w14:textId="77777777" w:rsidR="007D5D9E" w:rsidRPr="000E2F0E" w:rsidRDefault="007D5D9E" w:rsidP="00397B6B">
            <w:pPr>
              <w:jc w:val="center"/>
              <w:rPr>
                <w:rFonts w:eastAsiaTheme="minorHAnsi" w:cs="Arial"/>
                <w:bCs/>
                <w:sz w:val="16"/>
                <w:szCs w:val="16"/>
                <w:lang w:val="es-ES"/>
              </w:rPr>
            </w:pPr>
            <w:r w:rsidRPr="000E2F0E">
              <w:rPr>
                <w:rFonts w:eastAsiaTheme="minorHAnsi" w:cs="Arial"/>
                <w:bCs/>
                <w:sz w:val="16"/>
                <w:szCs w:val="16"/>
              </w:rPr>
              <w:t>CATEGORIA</w:t>
            </w:r>
          </w:p>
        </w:tc>
        <w:tc>
          <w:tcPr>
            <w:tcW w:w="1418" w:type="dxa"/>
            <w:vAlign w:val="center"/>
          </w:tcPr>
          <w:p w14:paraId="71560345" w14:textId="77777777" w:rsidR="007D5D9E" w:rsidRPr="000E2F0E" w:rsidRDefault="007D5D9E" w:rsidP="00397B6B">
            <w:pPr>
              <w:jc w:val="center"/>
              <w:rPr>
                <w:rFonts w:eastAsiaTheme="minorHAnsi" w:cs="Arial"/>
                <w:bCs/>
                <w:sz w:val="16"/>
                <w:szCs w:val="16"/>
                <w:lang w:val="es-ES"/>
              </w:rPr>
            </w:pPr>
            <w:r w:rsidRPr="000E2F0E">
              <w:rPr>
                <w:rFonts w:eastAsiaTheme="minorHAnsi" w:cs="Arial"/>
                <w:bCs/>
                <w:sz w:val="16"/>
                <w:szCs w:val="16"/>
              </w:rPr>
              <w:t>ZONA</w:t>
            </w:r>
          </w:p>
        </w:tc>
        <w:tc>
          <w:tcPr>
            <w:tcW w:w="1275" w:type="dxa"/>
            <w:vAlign w:val="center"/>
          </w:tcPr>
          <w:p w14:paraId="0BC85938" w14:textId="77777777" w:rsidR="007D5D9E" w:rsidRPr="000E2F0E" w:rsidRDefault="007D5D9E" w:rsidP="00397B6B">
            <w:pPr>
              <w:jc w:val="center"/>
              <w:rPr>
                <w:rFonts w:eastAsiaTheme="minorHAnsi" w:cs="Arial"/>
                <w:bCs/>
                <w:sz w:val="16"/>
                <w:szCs w:val="16"/>
                <w:lang w:val="es-ES"/>
              </w:rPr>
            </w:pPr>
            <w:r w:rsidRPr="000E2F0E">
              <w:rPr>
                <w:rFonts w:eastAsiaTheme="minorHAnsi" w:cs="Arial"/>
                <w:bCs/>
                <w:sz w:val="16"/>
                <w:szCs w:val="16"/>
              </w:rPr>
              <w:t>SUBZONA</w:t>
            </w:r>
          </w:p>
        </w:tc>
        <w:tc>
          <w:tcPr>
            <w:tcW w:w="1418" w:type="dxa"/>
            <w:vAlign w:val="center"/>
          </w:tcPr>
          <w:p w14:paraId="2013633B" w14:textId="77777777" w:rsidR="007D5D9E" w:rsidRPr="000E2F0E" w:rsidRDefault="007D5D9E" w:rsidP="00397B6B">
            <w:pPr>
              <w:jc w:val="center"/>
              <w:rPr>
                <w:rFonts w:eastAsiaTheme="minorHAnsi" w:cs="Arial"/>
                <w:bCs/>
                <w:sz w:val="16"/>
                <w:szCs w:val="16"/>
                <w:lang w:val="es-ES"/>
              </w:rPr>
            </w:pPr>
            <w:r w:rsidRPr="000E2F0E">
              <w:rPr>
                <w:rFonts w:eastAsiaTheme="minorHAnsi" w:cs="Arial"/>
                <w:bCs/>
                <w:sz w:val="16"/>
                <w:szCs w:val="16"/>
              </w:rPr>
              <w:t>DESCRIPCIÓN</w:t>
            </w:r>
          </w:p>
        </w:tc>
        <w:tc>
          <w:tcPr>
            <w:tcW w:w="850" w:type="dxa"/>
            <w:vAlign w:val="center"/>
          </w:tcPr>
          <w:p w14:paraId="22D29684" w14:textId="50A719A9" w:rsidR="007D5D9E" w:rsidRPr="001B060A" w:rsidRDefault="007D5D9E" w:rsidP="00397B6B">
            <w:pPr>
              <w:jc w:val="center"/>
              <w:rPr>
                <w:rFonts w:eastAsiaTheme="minorHAnsi" w:cs="Arial"/>
                <w:bCs/>
                <w:sz w:val="16"/>
                <w:szCs w:val="16"/>
                <w:lang w:val="es-ES"/>
              </w:rPr>
            </w:pPr>
            <w:r w:rsidRPr="001B060A">
              <w:rPr>
                <w:rFonts w:eastAsiaTheme="minorHAnsi" w:cs="Arial"/>
                <w:bCs/>
                <w:sz w:val="16"/>
                <w:szCs w:val="16"/>
              </w:rPr>
              <w:t>SIMBOLO</w:t>
            </w:r>
            <w:r w:rsidR="0025426A" w:rsidRPr="001B060A">
              <w:rPr>
                <w:rFonts w:eastAsiaTheme="minorHAnsi" w:cs="Arial"/>
                <w:bCs/>
                <w:sz w:val="16"/>
                <w:szCs w:val="16"/>
              </w:rPr>
              <w:t xml:space="preserve"> DT</w:t>
            </w:r>
          </w:p>
        </w:tc>
        <w:tc>
          <w:tcPr>
            <w:tcW w:w="993" w:type="dxa"/>
            <w:vAlign w:val="center"/>
          </w:tcPr>
          <w:p w14:paraId="41D44DF2" w14:textId="69AA6009" w:rsidR="007D5D9E" w:rsidRPr="001B060A" w:rsidRDefault="0025426A" w:rsidP="00397B6B">
            <w:pPr>
              <w:jc w:val="center"/>
              <w:rPr>
                <w:rFonts w:eastAsiaTheme="minorHAnsi" w:cs="Arial"/>
                <w:bCs/>
                <w:sz w:val="16"/>
                <w:szCs w:val="16"/>
              </w:rPr>
            </w:pPr>
            <w:r w:rsidRPr="001B060A">
              <w:rPr>
                <w:rFonts w:eastAsiaTheme="minorHAnsi" w:cs="Arial"/>
                <w:bCs/>
                <w:sz w:val="16"/>
                <w:szCs w:val="16"/>
              </w:rPr>
              <w:t>SIMBOLO</w:t>
            </w:r>
            <w:r w:rsidR="00397B6B" w:rsidRPr="001B060A">
              <w:rPr>
                <w:rFonts w:eastAsiaTheme="minorHAnsi" w:cs="Arial"/>
                <w:bCs/>
                <w:sz w:val="16"/>
                <w:szCs w:val="16"/>
              </w:rPr>
              <w:t xml:space="preserve"> GDB</w:t>
            </w:r>
          </w:p>
        </w:tc>
        <w:tc>
          <w:tcPr>
            <w:tcW w:w="850" w:type="dxa"/>
            <w:vAlign w:val="center"/>
          </w:tcPr>
          <w:p w14:paraId="03E515C1" w14:textId="22B2D64F" w:rsidR="007D5D9E" w:rsidRPr="000E2F0E" w:rsidRDefault="007D5D9E" w:rsidP="00397B6B">
            <w:pPr>
              <w:jc w:val="center"/>
              <w:rPr>
                <w:rFonts w:eastAsiaTheme="minorHAnsi" w:cs="Arial"/>
                <w:bCs/>
                <w:sz w:val="16"/>
                <w:szCs w:val="16"/>
                <w:lang w:val="es-ES"/>
              </w:rPr>
            </w:pPr>
            <w:r w:rsidRPr="000E2F0E">
              <w:rPr>
                <w:rFonts w:eastAsiaTheme="minorHAnsi" w:cs="Arial"/>
                <w:bCs/>
                <w:sz w:val="16"/>
                <w:szCs w:val="16"/>
              </w:rPr>
              <w:t>Área (ha)</w:t>
            </w:r>
          </w:p>
        </w:tc>
        <w:tc>
          <w:tcPr>
            <w:tcW w:w="851" w:type="dxa"/>
            <w:vAlign w:val="center"/>
          </w:tcPr>
          <w:p w14:paraId="068051C0" w14:textId="77777777" w:rsidR="007D5D9E" w:rsidRPr="000E2F0E" w:rsidRDefault="007D5D9E" w:rsidP="00397B6B">
            <w:pPr>
              <w:jc w:val="center"/>
              <w:rPr>
                <w:rFonts w:eastAsiaTheme="minorHAnsi" w:cs="Arial"/>
                <w:bCs/>
                <w:sz w:val="16"/>
                <w:szCs w:val="16"/>
                <w:lang w:val="es-ES"/>
              </w:rPr>
            </w:pPr>
            <w:r w:rsidRPr="000E2F0E">
              <w:rPr>
                <w:rFonts w:eastAsiaTheme="minorHAnsi" w:cs="Arial"/>
                <w:bCs/>
                <w:sz w:val="16"/>
                <w:szCs w:val="16"/>
              </w:rPr>
              <w:t>PORCENTAJE</w:t>
            </w:r>
          </w:p>
        </w:tc>
      </w:tr>
      <w:tr w:rsidR="00536E72" w:rsidRPr="000E2F0E" w14:paraId="6EC47F38" w14:textId="77777777" w:rsidTr="005C5DC4">
        <w:trPr>
          <w:trHeight w:val="746"/>
          <w:jc w:val="center"/>
        </w:trPr>
        <w:tc>
          <w:tcPr>
            <w:tcW w:w="1271" w:type="dxa"/>
            <w:vMerge w:val="restart"/>
            <w:vAlign w:val="center"/>
          </w:tcPr>
          <w:p w14:paraId="68DC7764" w14:textId="77777777" w:rsidR="00536E72" w:rsidRPr="001B060A" w:rsidRDefault="00536E72" w:rsidP="00307E04">
            <w:pPr>
              <w:jc w:val="center"/>
              <w:rPr>
                <w:rFonts w:eastAsiaTheme="minorHAnsi" w:cs="Arial"/>
                <w:b w:val="0"/>
                <w:sz w:val="16"/>
                <w:szCs w:val="16"/>
              </w:rPr>
            </w:pPr>
            <w:r w:rsidRPr="001B060A">
              <w:rPr>
                <w:rFonts w:eastAsiaTheme="minorHAnsi" w:cs="Arial"/>
                <w:b w:val="0"/>
                <w:sz w:val="16"/>
                <w:szCs w:val="16"/>
              </w:rPr>
              <w:t>Conservación y Protección Ambiental</w:t>
            </w:r>
          </w:p>
        </w:tc>
        <w:tc>
          <w:tcPr>
            <w:tcW w:w="1418" w:type="dxa"/>
            <w:vMerge w:val="restart"/>
            <w:vAlign w:val="center"/>
          </w:tcPr>
          <w:p w14:paraId="6CDD34FB" w14:textId="77777777" w:rsidR="00536E72" w:rsidRPr="001B060A" w:rsidRDefault="00536E72" w:rsidP="00307E04">
            <w:pPr>
              <w:jc w:val="center"/>
              <w:rPr>
                <w:rFonts w:eastAsiaTheme="minorHAnsi" w:cs="Arial"/>
                <w:b w:val="0"/>
                <w:sz w:val="16"/>
                <w:szCs w:val="16"/>
              </w:rPr>
            </w:pPr>
            <w:r w:rsidRPr="001B060A">
              <w:rPr>
                <w:rFonts w:eastAsiaTheme="minorHAnsi" w:cs="Arial"/>
                <w:b w:val="0"/>
                <w:sz w:val="16"/>
                <w:szCs w:val="16"/>
              </w:rPr>
              <w:t>Áreas de Protección</w:t>
            </w:r>
          </w:p>
        </w:tc>
        <w:tc>
          <w:tcPr>
            <w:tcW w:w="1275" w:type="dxa"/>
            <w:vAlign w:val="center"/>
          </w:tcPr>
          <w:p w14:paraId="7D467279" w14:textId="77777777" w:rsidR="00536E72" w:rsidRPr="001B060A" w:rsidRDefault="00536E72" w:rsidP="00307E04">
            <w:pPr>
              <w:jc w:val="center"/>
              <w:rPr>
                <w:rFonts w:eastAsiaTheme="minorHAnsi" w:cs="Arial"/>
                <w:b w:val="0"/>
                <w:sz w:val="16"/>
                <w:szCs w:val="16"/>
              </w:rPr>
            </w:pPr>
            <w:r w:rsidRPr="001B060A">
              <w:rPr>
                <w:rFonts w:eastAsiaTheme="minorHAnsi" w:cs="Arial"/>
                <w:b w:val="0"/>
                <w:sz w:val="16"/>
                <w:szCs w:val="16"/>
              </w:rPr>
              <w:t>Áreas de importancia Ambiental</w:t>
            </w:r>
          </w:p>
        </w:tc>
        <w:tc>
          <w:tcPr>
            <w:tcW w:w="1418" w:type="dxa"/>
            <w:tcBorders>
              <w:top w:val="nil"/>
              <w:left w:val="nil"/>
              <w:bottom w:val="single" w:sz="8" w:space="0" w:color="auto"/>
              <w:right w:val="single" w:sz="8" w:space="0" w:color="auto"/>
            </w:tcBorders>
            <w:vAlign w:val="center"/>
          </w:tcPr>
          <w:p w14:paraId="12A27E60" w14:textId="1930F9B8" w:rsidR="00536E72" w:rsidRPr="001B060A" w:rsidRDefault="00536E72" w:rsidP="00307E04">
            <w:pPr>
              <w:jc w:val="center"/>
              <w:rPr>
                <w:rFonts w:eastAsia="Times New Roman" w:cs="Arial"/>
                <w:b w:val="0"/>
                <w:color w:val="000000"/>
                <w:sz w:val="16"/>
                <w:szCs w:val="16"/>
                <w:lang w:eastAsia="es-CO"/>
              </w:rPr>
            </w:pPr>
            <w:r w:rsidRPr="001B060A">
              <w:rPr>
                <w:rFonts w:eastAsia="Times New Roman" w:cs="Arial"/>
                <w:b w:val="0"/>
                <w:color w:val="000000"/>
                <w:sz w:val="16"/>
                <w:szCs w:val="16"/>
                <w:lang w:eastAsia="es-ES"/>
              </w:rPr>
              <w:t>Bosques Relictuales</w:t>
            </w:r>
          </w:p>
        </w:tc>
        <w:tc>
          <w:tcPr>
            <w:tcW w:w="850" w:type="dxa"/>
            <w:tcBorders>
              <w:top w:val="nil"/>
              <w:left w:val="nil"/>
              <w:bottom w:val="single" w:sz="8" w:space="0" w:color="auto"/>
              <w:right w:val="single" w:sz="8" w:space="0" w:color="auto"/>
            </w:tcBorders>
            <w:shd w:val="clear" w:color="000000" w:fill="38A800"/>
            <w:vAlign w:val="center"/>
          </w:tcPr>
          <w:p w14:paraId="7ED6EA6F" w14:textId="2AEB1901" w:rsidR="00536E72" w:rsidRPr="001B060A" w:rsidRDefault="00536E72" w:rsidP="00307E04">
            <w:pPr>
              <w:jc w:val="center"/>
              <w:rPr>
                <w:rFonts w:eastAsiaTheme="minorHAnsi" w:cs="Arial"/>
                <w:bCs/>
                <w:color w:val="00B050"/>
                <w:sz w:val="16"/>
                <w:szCs w:val="16"/>
              </w:rPr>
            </w:pPr>
            <w:r w:rsidRPr="001B060A">
              <w:rPr>
                <w:rFonts w:eastAsia="Times New Roman" w:cs="Arial"/>
                <w:bCs/>
                <w:color w:val="000000"/>
                <w:sz w:val="16"/>
                <w:szCs w:val="16"/>
                <w:lang w:eastAsia="es-ES"/>
              </w:rPr>
              <w:t>C – 10</w:t>
            </w:r>
          </w:p>
        </w:tc>
        <w:tc>
          <w:tcPr>
            <w:tcW w:w="993" w:type="dxa"/>
            <w:tcBorders>
              <w:top w:val="nil"/>
              <w:left w:val="nil"/>
              <w:bottom w:val="single" w:sz="8" w:space="0" w:color="auto"/>
              <w:right w:val="single" w:sz="8" w:space="0" w:color="auto"/>
            </w:tcBorders>
            <w:shd w:val="clear" w:color="000000" w:fill="38A800"/>
            <w:vAlign w:val="center"/>
          </w:tcPr>
          <w:p w14:paraId="1A2E1DDA" w14:textId="182B0180" w:rsidR="00536E72" w:rsidRPr="001B060A" w:rsidRDefault="00536E72" w:rsidP="00307E04">
            <w:pPr>
              <w:jc w:val="center"/>
              <w:rPr>
                <w:rFonts w:eastAsia="Times New Roman" w:cs="Arial"/>
                <w:bCs/>
                <w:color w:val="000000"/>
                <w:sz w:val="16"/>
                <w:szCs w:val="16"/>
                <w:lang w:eastAsia="es-CO"/>
              </w:rPr>
            </w:pPr>
            <w:r w:rsidRPr="001B060A">
              <w:rPr>
                <w:rFonts w:eastAsia="Times New Roman" w:cs="Arial"/>
                <w:bCs/>
                <w:color w:val="000000"/>
                <w:sz w:val="16"/>
                <w:szCs w:val="16"/>
                <w:lang w:eastAsia="es-ES"/>
              </w:rPr>
              <w:t>BR</w:t>
            </w:r>
          </w:p>
        </w:tc>
        <w:tc>
          <w:tcPr>
            <w:tcW w:w="850" w:type="dxa"/>
            <w:vAlign w:val="center"/>
          </w:tcPr>
          <w:p w14:paraId="15ECA20F" w14:textId="6E59DA78" w:rsidR="00536E72" w:rsidRPr="000E2F0E" w:rsidRDefault="00556530" w:rsidP="00307E04">
            <w:pPr>
              <w:jc w:val="center"/>
              <w:rPr>
                <w:rFonts w:eastAsia="Times New Roman" w:cs="Arial"/>
                <w:b w:val="0"/>
                <w:color w:val="000000"/>
                <w:sz w:val="16"/>
                <w:szCs w:val="16"/>
                <w:lang w:eastAsia="es-CO"/>
              </w:rPr>
            </w:pPr>
            <w:r>
              <w:rPr>
                <w:rFonts w:eastAsia="Times New Roman" w:cs="Arial"/>
                <w:b w:val="0"/>
                <w:color w:val="000000"/>
                <w:sz w:val="16"/>
                <w:szCs w:val="16"/>
                <w:lang w:eastAsia="es-CO"/>
              </w:rPr>
              <w:t>9,27</w:t>
            </w:r>
          </w:p>
        </w:tc>
        <w:tc>
          <w:tcPr>
            <w:tcW w:w="851" w:type="dxa"/>
            <w:vAlign w:val="center"/>
          </w:tcPr>
          <w:p w14:paraId="3211C522" w14:textId="5D2CC859" w:rsidR="00536E72" w:rsidRPr="000E2F0E" w:rsidRDefault="001A3318" w:rsidP="00307E04">
            <w:pPr>
              <w:jc w:val="center"/>
              <w:rPr>
                <w:rFonts w:eastAsia="Times New Roman" w:cs="Arial"/>
                <w:b w:val="0"/>
                <w:color w:val="000000"/>
                <w:sz w:val="16"/>
                <w:szCs w:val="16"/>
                <w:lang w:eastAsia="es-CO"/>
              </w:rPr>
            </w:pPr>
            <w:r>
              <w:rPr>
                <w:rFonts w:eastAsia="Times New Roman" w:cs="Arial"/>
                <w:b w:val="0"/>
                <w:color w:val="000000"/>
                <w:sz w:val="16"/>
                <w:szCs w:val="16"/>
                <w:lang w:eastAsia="es-CO"/>
              </w:rPr>
              <w:t>95,22</w:t>
            </w:r>
          </w:p>
        </w:tc>
      </w:tr>
      <w:tr w:rsidR="00536E72" w:rsidRPr="000E2F0E" w14:paraId="54171164" w14:textId="77777777" w:rsidTr="005C5DC4">
        <w:trPr>
          <w:trHeight w:val="460"/>
          <w:jc w:val="center"/>
        </w:trPr>
        <w:tc>
          <w:tcPr>
            <w:tcW w:w="1271" w:type="dxa"/>
            <w:vMerge/>
            <w:vAlign w:val="center"/>
          </w:tcPr>
          <w:p w14:paraId="03516755" w14:textId="77777777" w:rsidR="00536E72" w:rsidRPr="001B060A" w:rsidRDefault="00536E72" w:rsidP="00536E72">
            <w:pPr>
              <w:jc w:val="center"/>
              <w:rPr>
                <w:rFonts w:eastAsiaTheme="minorHAnsi" w:cs="Arial"/>
                <w:b w:val="0"/>
                <w:sz w:val="16"/>
                <w:szCs w:val="16"/>
              </w:rPr>
            </w:pPr>
          </w:p>
        </w:tc>
        <w:tc>
          <w:tcPr>
            <w:tcW w:w="1418" w:type="dxa"/>
            <w:vMerge/>
            <w:vAlign w:val="center"/>
          </w:tcPr>
          <w:p w14:paraId="64F5CF37" w14:textId="6A4E555E" w:rsidR="00536E72" w:rsidRPr="001B060A" w:rsidRDefault="00536E72" w:rsidP="00536E72">
            <w:pPr>
              <w:jc w:val="center"/>
              <w:rPr>
                <w:rFonts w:eastAsiaTheme="minorHAnsi" w:cs="Arial"/>
                <w:b w:val="0"/>
                <w:sz w:val="16"/>
                <w:szCs w:val="16"/>
              </w:rPr>
            </w:pPr>
          </w:p>
        </w:tc>
        <w:tc>
          <w:tcPr>
            <w:tcW w:w="1275" w:type="dxa"/>
            <w:tcBorders>
              <w:top w:val="nil"/>
              <w:left w:val="nil"/>
              <w:bottom w:val="single" w:sz="8" w:space="0" w:color="auto"/>
              <w:right w:val="single" w:sz="8" w:space="0" w:color="auto"/>
            </w:tcBorders>
            <w:vAlign w:val="center"/>
          </w:tcPr>
          <w:p w14:paraId="451B58AF" w14:textId="2CDE552F" w:rsidR="00536E72" w:rsidRPr="001B060A" w:rsidRDefault="00536E72" w:rsidP="00536E72">
            <w:pPr>
              <w:jc w:val="center"/>
              <w:rPr>
                <w:rFonts w:eastAsiaTheme="minorHAnsi" w:cs="Arial"/>
                <w:b w:val="0"/>
                <w:sz w:val="16"/>
                <w:szCs w:val="16"/>
              </w:rPr>
            </w:pPr>
            <w:r w:rsidRPr="001B060A">
              <w:rPr>
                <w:rFonts w:eastAsia="Times New Roman" w:cs="Arial"/>
                <w:b w:val="0"/>
                <w:color w:val="000000"/>
                <w:sz w:val="16"/>
                <w:szCs w:val="16"/>
                <w:lang w:eastAsia="es-ES"/>
              </w:rPr>
              <w:t>Áreas de amenazas naturales</w:t>
            </w:r>
          </w:p>
        </w:tc>
        <w:tc>
          <w:tcPr>
            <w:tcW w:w="1418" w:type="dxa"/>
            <w:tcBorders>
              <w:top w:val="nil"/>
              <w:left w:val="nil"/>
              <w:bottom w:val="single" w:sz="8" w:space="0" w:color="auto"/>
              <w:right w:val="single" w:sz="8" w:space="0" w:color="auto"/>
            </w:tcBorders>
            <w:vAlign w:val="center"/>
          </w:tcPr>
          <w:p w14:paraId="45260B0A" w14:textId="2E2C23D9" w:rsidR="00536E72" w:rsidRPr="001B060A" w:rsidRDefault="00536E72" w:rsidP="00536E72">
            <w:pPr>
              <w:jc w:val="center"/>
              <w:rPr>
                <w:rFonts w:eastAsia="Times New Roman" w:cs="Arial"/>
                <w:b w:val="0"/>
                <w:color w:val="000000"/>
                <w:sz w:val="16"/>
                <w:szCs w:val="16"/>
                <w:lang w:eastAsia="es-CO"/>
              </w:rPr>
            </w:pPr>
            <w:r w:rsidRPr="001B060A">
              <w:rPr>
                <w:rFonts w:eastAsia="Times New Roman" w:cs="Arial"/>
                <w:b w:val="0"/>
                <w:color w:val="000000"/>
                <w:sz w:val="16"/>
                <w:szCs w:val="16"/>
                <w:lang w:eastAsia="es-ES"/>
              </w:rPr>
              <w:t>Áreas de amenazas naturales</w:t>
            </w:r>
          </w:p>
        </w:tc>
        <w:tc>
          <w:tcPr>
            <w:tcW w:w="850" w:type="dxa"/>
            <w:tcBorders>
              <w:top w:val="nil"/>
              <w:left w:val="nil"/>
              <w:bottom w:val="single" w:sz="8" w:space="0" w:color="auto"/>
              <w:right w:val="single" w:sz="8" w:space="0" w:color="auto"/>
            </w:tcBorders>
            <w:shd w:val="clear" w:color="000000" w:fill="FF0000"/>
            <w:vAlign w:val="center"/>
          </w:tcPr>
          <w:p w14:paraId="5F8253D3" w14:textId="26B8BFD4" w:rsidR="00536E72" w:rsidRPr="001B060A" w:rsidRDefault="00536E72" w:rsidP="00536E72">
            <w:pPr>
              <w:jc w:val="center"/>
              <w:rPr>
                <w:rFonts w:eastAsia="Times New Roman" w:cs="Arial"/>
                <w:bCs/>
                <w:color w:val="000000"/>
                <w:sz w:val="16"/>
                <w:szCs w:val="16"/>
                <w:lang w:eastAsia="es-CO"/>
              </w:rPr>
            </w:pPr>
            <w:r w:rsidRPr="001B060A">
              <w:rPr>
                <w:rFonts w:eastAsia="Times New Roman" w:cs="Arial"/>
                <w:bCs/>
                <w:color w:val="000000"/>
                <w:sz w:val="16"/>
                <w:szCs w:val="16"/>
                <w:lang w:eastAsia="es-ES"/>
              </w:rPr>
              <w:t>C – 13</w:t>
            </w:r>
          </w:p>
        </w:tc>
        <w:tc>
          <w:tcPr>
            <w:tcW w:w="993" w:type="dxa"/>
            <w:tcBorders>
              <w:top w:val="nil"/>
              <w:left w:val="nil"/>
              <w:bottom w:val="single" w:sz="8" w:space="0" w:color="auto"/>
              <w:right w:val="single" w:sz="8" w:space="0" w:color="auto"/>
            </w:tcBorders>
            <w:shd w:val="clear" w:color="000000" w:fill="FF0000"/>
            <w:vAlign w:val="center"/>
          </w:tcPr>
          <w:p w14:paraId="500DFEF9" w14:textId="61C93B34" w:rsidR="00536E72" w:rsidRPr="001B060A" w:rsidRDefault="00536E72" w:rsidP="00536E72">
            <w:pPr>
              <w:jc w:val="center"/>
              <w:rPr>
                <w:rFonts w:eastAsia="Times New Roman" w:cs="Arial"/>
                <w:bCs/>
                <w:color w:val="000000"/>
                <w:sz w:val="16"/>
                <w:szCs w:val="16"/>
                <w:lang w:eastAsia="es-CO"/>
              </w:rPr>
            </w:pPr>
            <w:r w:rsidRPr="001B060A">
              <w:rPr>
                <w:rFonts w:eastAsia="Times New Roman" w:cs="Arial"/>
                <w:bCs/>
                <w:color w:val="000000"/>
                <w:sz w:val="16"/>
                <w:szCs w:val="16"/>
                <w:lang w:eastAsia="es-ES"/>
              </w:rPr>
              <w:t>AMN</w:t>
            </w:r>
          </w:p>
        </w:tc>
        <w:tc>
          <w:tcPr>
            <w:tcW w:w="850" w:type="dxa"/>
            <w:vAlign w:val="center"/>
          </w:tcPr>
          <w:p w14:paraId="25D6B3A6" w14:textId="62E9E8B2" w:rsidR="00536E72" w:rsidRPr="000E2F0E" w:rsidRDefault="00CE7778" w:rsidP="00536E72">
            <w:pPr>
              <w:jc w:val="center"/>
              <w:rPr>
                <w:rFonts w:eastAsia="Times New Roman" w:cs="Arial"/>
                <w:b w:val="0"/>
                <w:color w:val="000000"/>
                <w:sz w:val="16"/>
                <w:szCs w:val="16"/>
                <w:lang w:eastAsia="es-CO"/>
              </w:rPr>
            </w:pPr>
            <w:r>
              <w:rPr>
                <w:rFonts w:eastAsia="Times New Roman" w:cs="Arial"/>
                <w:b w:val="0"/>
                <w:color w:val="000000"/>
                <w:sz w:val="16"/>
                <w:szCs w:val="16"/>
                <w:lang w:eastAsia="es-CO"/>
              </w:rPr>
              <w:t>0,08</w:t>
            </w:r>
          </w:p>
        </w:tc>
        <w:tc>
          <w:tcPr>
            <w:tcW w:w="851" w:type="dxa"/>
            <w:vAlign w:val="center"/>
          </w:tcPr>
          <w:p w14:paraId="38B6B3A8" w14:textId="7A6DAA2E" w:rsidR="00536E72" w:rsidRPr="000E2F0E" w:rsidRDefault="00CE7778" w:rsidP="00536E72">
            <w:pPr>
              <w:jc w:val="center"/>
              <w:rPr>
                <w:rFonts w:eastAsia="Times New Roman" w:cs="Arial"/>
                <w:b w:val="0"/>
                <w:color w:val="000000"/>
                <w:sz w:val="16"/>
                <w:szCs w:val="16"/>
                <w:lang w:eastAsia="es-CO"/>
              </w:rPr>
            </w:pPr>
            <w:r>
              <w:rPr>
                <w:rFonts w:eastAsia="Times New Roman" w:cs="Arial"/>
                <w:b w:val="0"/>
                <w:color w:val="000000"/>
                <w:sz w:val="16"/>
                <w:szCs w:val="16"/>
                <w:lang w:eastAsia="es-CO"/>
              </w:rPr>
              <w:t>0,82</w:t>
            </w:r>
          </w:p>
        </w:tc>
      </w:tr>
      <w:tr w:rsidR="00820FF2" w:rsidRPr="000E2F0E" w14:paraId="6474CC8A" w14:textId="77777777" w:rsidTr="001B060A">
        <w:trPr>
          <w:trHeight w:val="495"/>
          <w:jc w:val="center"/>
        </w:trPr>
        <w:tc>
          <w:tcPr>
            <w:tcW w:w="1271" w:type="dxa"/>
            <w:vAlign w:val="center"/>
          </w:tcPr>
          <w:p w14:paraId="139A8F6E" w14:textId="6CA9ADF9" w:rsidR="00820FF2" w:rsidRPr="001B060A" w:rsidRDefault="00820FF2" w:rsidP="00820FF2">
            <w:pPr>
              <w:jc w:val="center"/>
              <w:rPr>
                <w:rFonts w:eastAsiaTheme="minorHAnsi" w:cs="Arial"/>
                <w:b w:val="0"/>
                <w:sz w:val="16"/>
                <w:szCs w:val="16"/>
              </w:rPr>
            </w:pPr>
            <w:r w:rsidRPr="001B060A">
              <w:rPr>
                <w:rFonts w:eastAsiaTheme="minorHAnsi" w:cs="Arial"/>
                <w:b w:val="0"/>
                <w:sz w:val="16"/>
                <w:szCs w:val="16"/>
              </w:rPr>
              <w:t>Uso Múltiple</w:t>
            </w:r>
          </w:p>
        </w:tc>
        <w:tc>
          <w:tcPr>
            <w:tcW w:w="1418" w:type="dxa"/>
            <w:vAlign w:val="center"/>
          </w:tcPr>
          <w:p w14:paraId="2B7D25CF" w14:textId="77777777" w:rsidR="00820FF2" w:rsidRPr="001B060A" w:rsidRDefault="00820FF2" w:rsidP="00820FF2">
            <w:pPr>
              <w:jc w:val="center"/>
              <w:rPr>
                <w:rFonts w:eastAsiaTheme="minorHAnsi" w:cs="Arial"/>
                <w:b w:val="0"/>
                <w:sz w:val="16"/>
                <w:szCs w:val="16"/>
              </w:rPr>
            </w:pPr>
            <w:r w:rsidRPr="001B060A">
              <w:rPr>
                <w:rFonts w:eastAsiaTheme="minorHAnsi" w:cs="Arial"/>
                <w:b w:val="0"/>
                <w:sz w:val="16"/>
                <w:szCs w:val="16"/>
              </w:rPr>
              <w:t>Áreas para la producción agrícola, ganadera y de uso sostenible de Recursos Naturales</w:t>
            </w:r>
          </w:p>
        </w:tc>
        <w:tc>
          <w:tcPr>
            <w:tcW w:w="1275" w:type="dxa"/>
            <w:vAlign w:val="center"/>
          </w:tcPr>
          <w:p w14:paraId="7B204E89" w14:textId="77777777" w:rsidR="00820FF2" w:rsidRPr="001B060A" w:rsidRDefault="00820FF2" w:rsidP="00820FF2">
            <w:pPr>
              <w:jc w:val="center"/>
              <w:rPr>
                <w:rFonts w:eastAsiaTheme="minorHAnsi" w:cs="Arial"/>
                <w:b w:val="0"/>
                <w:sz w:val="16"/>
                <w:szCs w:val="16"/>
              </w:rPr>
            </w:pPr>
            <w:r w:rsidRPr="001B060A">
              <w:rPr>
                <w:rFonts w:eastAsiaTheme="minorHAnsi" w:cs="Arial"/>
                <w:b w:val="0"/>
                <w:sz w:val="16"/>
                <w:szCs w:val="16"/>
              </w:rPr>
              <w:t>Áreas Agrosilvopastoriles</w:t>
            </w:r>
          </w:p>
        </w:tc>
        <w:tc>
          <w:tcPr>
            <w:tcW w:w="1418" w:type="dxa"/>
            <w:tcBorders>
              <w:top w:val="nil"/>
              <w:left w:val="nil"/>
              <w:bottom w:val="single" w:sz="8" w:space="0" w:color="auto"/>
              <w:right w:val="single" w:sz="8" w:space="0" w:color="auto"/>
            </w:tcBorders>
            <w:vAlign w:val="center"/>
          </w:tcPr>
          <w:p w14:paraId="2171E3E5" w14:textId="484A96CA" w:rsidR="00820FF2" w:rsidRPr="001B060A" w:rsidRDefault="00820FF2" w:rsidP="00820FF2">
            <w:pPr>
              <w:jc w:val="center"/>
              <w:rPr>
                <w:rFonts w:eastAsia="Times New Roman" w:cs="Arial"/>
                <w:b w:val="0"/>
                <w:color w:val="000000"/>
                <w:sz w:val="16"/>
                <w:szCs w:val="16"/>
                <w:lang w:eastAsia="es-CO"/>
              </w:rPr>
            </w:pPr>
            <w:r w:rsidRPr="001B060A">
              <w:rPr>
                <w:rFonts w:eastAsia="Times New Roman" w:cs="Arial"/>
                <w:b w:val="0"/>
                <w:color w:val="000000"/>
                <w:sz w:val="16"/>
                <w:szCs w:val="16"/>
                <w:lang w:eastAsia="es-ES"/>
              </w:rPr>
              <w:t>Sistemas Agrosilvícolas (condicionados)</w:t>
            </w:r>
          </w:p>
        </w:tc>
        <w:tc>
          <w:tcPr>
            <w:tcW w:w="850" w:type="dxa"/>
            <w:tcBorders>
              <w:top w:val="nil"/>
              <w:left w:val="single" w:sz="8" w:space="0" w:color="auto"/>
              <w:bottom w:val="single" w:sz="8" w:space="0" w:color="000000"/>
              <w:right w:val="single" w:sz="8" w:space="0" w:color="auto"/>
            </w:tcBorders>
            <w:shd w:val="clear" w:color="000000" w:fill="FFFF00"/>
            <w:vAlign w:val="center"/>
          </w:tcPr>
          <w:p w14:paraId="29408110" w14:textId="6DC33CAE" w:rsidR="00820FF2" w:rsidRPr="001B060A" w:rsidRDefault="00820FF2" w:rsidP="00820FF2">
            <w:pPr>
              <w:jc w:val="center"/>
              <w:rPr>
                <w:rFonts w:eastAsia="Times New Roman" w:cs="Arial"/>
                <w:bCs/>
                <w:color w:val="000000"/>
                <w:sz w:val="16"/>
                <w:szCs w:val="16"/>
                <w:lang w:eastAsia="es-CO"/>
              </w:rPr>
            </w:pPr>
            <w:r w:rsidRPr="001B060A">
              <w:rPr>
                <w:rFonts w:eastAsia="Times New Roman" w:cs="Arial"/>
                <w:bCs/>
                <w:color w:val="000000"/>
                <w:sz w:val="16"/>
                <w:szCs w:val="16"/>
                <w:lang w:eastAsia="es-ES"/>
              </w:rPr>
              <w:t>M – 04</w:t>
            </w:r>
          </w:p>
        </w:tc>
        <w:tc>
          <w:tcPr>
            <w:tcW w:w="993" w:type="dxa"/>
            <w:shd w:val="clear" w:color="auto" w:fill="FFFF00"/>
            <w:vAlign w:val="center"/>
          </w:tcPr>
          <w:p w14:paraId="04288FA6" w14:textId="6072C771" w:rsidR="00820FF2" w:rsidRPr="001B060A" w:rsidRDefault="001B060A" w:rsidP="00820FF2">
            <w:pPr>
              <w:jc w:val="center"/>
              <w:rPr>
                <w:rFonts w:eastAsia="Times New Roman" w:cs="Arial"/>
                <w:bCs/>
                <w:color w:val="000000"/>
                <w:sz w:val="16"/>
                <w:szCs w:val="16"/>
                <w:lang w:eastAsia="es-CO"/>
              </w:rPr>
            </w:pPr>
            <w:r w:rsidRPr="001B060A">
              <w:rPr>
                <w:rFonts w:eastAsia="Times New Roman" w:cs="Arial"/>
                <w:bCs/>
                <w:color w:val="000000"/>
                <w:sz w:val="16"/>
                <w:szCs w:val="16"/>
                <w:lang w:val="es-ES" w:eastAsia="es-CO"/>
              </w:rPr>
              <w:t>AGS</w:t>
            </w:r>
          </w:p>
        </w:tc>
        <w:tc>
          <w:tcPr>
            <w:tcW w:w="850" w:type="dxa"/>
            <w:vAlign w:val="center"/>
          </w:tcPr>
          <w:p w14:paraId="2AA4177C" w14:textId="66BF98FD" w:rsidR="00820FF2" w:rsidRPr="000E2F0E" w:rsidRDefault="00C40EB6" w:rsidP="00820FF2">
            <w:pPr>
              <w:jc w:val="center"/>
              <w:rPr>
                <w:rFonts w:eastAsia="Times New Roman" w:cs="Arial"/>
                <w:b w:val="0"/>
                <w:color w:val="000000"/>
                <w:sz w:val="16"/>
                <w:szCs w:val="16"/>
                <w:lang w:eastAsia="es-CO"/>
              </w:rPr>
            </w:pPr>
            <w:r>
              <w:rPr>
                <w:rFonts w:eastAsia="Times New Roman" w:cs="Arial"/>
                <w:b w:val="0"/>
                <w:color w:val="000000"/>
                <w:sz w:val="16"/>
                <w:szCs w:val="16"/>
                <w:lang w:eastAsia="es-CO"/>
              </w:rPr>
              <w:t>0,39</w:t>
            </w:r>
          </w:p>
        </w:tc>
        <w:tc>
          <w:tcPr>
            <w:tcW w:w="851" w:type="dxa"/>
            <w:vAlign w:val="center"/>
          </w:tcPr>
          <w:p w14:paraId="7425AD43" w14:textId="596D05FB" w:rsidR="00820FF2" w:rsidRPr="000E2F0E" w:rsidRDefault="00820FF2" w:rsidP="00820FF2">
            <w:pPr>
              <w:jc w:val="center"/>
              <w:rPr>
                <w:rFonts w:eastAsia="Times New Roman" w:cs="Arial"/>
                <w:b w:val="0"/>
                <w:color w:val="000000"/>
                <w:sz w:val="16"/>
                <w:szCs w:val="16"/>
                <w:lang w:eastAsia="es-CO"/>
              </w:rPr>
            </w:pPr>
            <w:r w:rsidRPr="000E2F0E">
              <w:rPr>
                <w:rFonts w:eastAsia="Times New Roman" w:cs="Arial"/>
                <w:b w:val="0"/>
                <w:color w:val="000000"/>
                <w:sz w:val="16"/>
                <w:szCs w:val="16"/>
                <w:lang w:eastAsia="es-CO"/>
              </w:rPr>
              <w:t>3,</w:t>
            </w:r>
            <w:r w:rsidR="00C40EB6">
              <w:rPr>
                <w:rFonts w:eastAsia="Times New Roman" w:cs="Arial"/>
                <w:b w:val="0"/>
                <w:color w:val="000000"/>
                <w:sz w:val="16"/>
                <w:szCs w:val="16"/>
                <w:lang w:eastAsia="es-CO"/>
              </w:rPr>
              <w:t>96</w:t>
            </w:r>
          </w:p>
        </w:tc>
      </w:tr>
      <w:tr w:rsidR="00F073B7" w:rsidRPr="000E2F0E" w14:paraId="775279A3" w14:textId="77777777" w:rsidTr="008C7A50">
        <w:trPr>
          <w:jc w:val="center"/>
        </w:trPr>
        <w:tc>
          <w:tcPr>
            <w:tcW w:w="7225" w:type="dxa"/>
            <w:gridSpan w:val="6"/>
            <w:vAlign w:val="center"/>
          </w:tcPr>
          <w:p w14:paraId="5EC0A333" w14:textId="44CAD982" w:rsidR="00F073B7" w:rsidRPr="000E2F0E" w:rsidRDefault="00F073B7" w:rsidP="00536E72">
            <w:pPr>
              <w:jc w:val="center"/>
              <w:rPr>
                <w:rFonts w:eastAsia="Times New Roman" w:cs="Arial"/>
                <w:b w:val="0"/>
                <w:color w:val="000000"/>
                <w:sz w:val="16"/>
                <w:szCs w:val="16"/>
                <w:lang w:eastAsia="es-CO"/>
              </w:rPr>
            </w:pPr>
            <w:r w:rsidRPr="000E2F0E">
              <w:rPr>
                <w:rFonts w:eastAsiaTheme="minorHAnsi" w:cs="Arial"/>
                <w:b w:val="0"/>
                <w:sz w:val="16"/>
                <w:szCs w:val="16"/>
                <w:lang w:val="es-ES"/>
              </w:rPr>
              <w:t>Total</w:t>
            </w:r>
          </w:p>
        </w:tc>
        <w:tc>
          <w:tcPr>
            <w:tcW w:w="850" w:type="dxa"/>
            <w:vAlign w:val="center"/>
          </w:tcPr>
          <w:p w14:paraId="3EDCD794" w14:textId="2B1A93A2" w:rsidR="00F073B7" w:rsidRPr="000E2F0E" w:rsidRDefault="00C40EB6" w:rsidP="00536E72">
            <w:pPr>
              <w:jc w:val="center"/>
              <w:rPr>
                <w:rFonts w:eastAsia="Times New Roman" w:cs="Arial"/>
                <w:b w:val="0"/>
                <w:color w:val="000000"/>
                <w:sz w:val="16"/>
                <w:szCs w:val="16"/>
                <w:lang w:eastAsia="es-CO"/>
              </w:rPr>
            </w:pPr>
            <w:r>
              <w:rPr>
                <w:rFonts w:eastAsia="Times New Roman" w:cs="Arial"/>
                <w:b w:val="0"/>
                <w:color w:val="000000"/>
                <w:sz w:val="16"/>
                <w:szCs w:val="16"/>
                <w:lang w:eastAsia="es-CO"/>
              </w:rPr>
              <w:t>9,75</w:t>
            </w:r>
          </w:p>
        </w:tc>
        <w:tc>
          <w:tcPr>
            <w:tcW w:w="851" w:type="dxa"/>
            <w:vAlign w:val="center"/>
          </w:tcPr>
          <w:p w14:paraId="39471737" w14:textId="77777777" w:rsidR="00F073B7" w:rsidRPr="000E2F0E" w:rsidRDefault="00F073B7" w:rsidP="00536E72">
            <w:pPr>
              <w:jc w:val="center"/>
              <w:rPr>
                <w:rFonts w:eastAsia="Times New Roman" w:cs="Arial"/>
                <w:b w:val="0"/>
                <w:color w:val="000000"/>
                <w:sz w:val="16"/>
                <w:szCs w:val="16"/>
                <w:lang w:eastAsia="es-CO"/>
              </w:rPr>
            </w:pPr>
            <w:r w:rsidRPr="000E2F0E">
              <w:rPr>
                <w:rFonts w:eastAsia="Times New Roman" w:cs="Arial"/>
                <w:b w:val="0"/>
                <w:color w:val="000000"/>
                <w:sz w:val="16"/>
                <w:szCs w:val="16"/>
                <w:lang w:eastAsia="es-CO"/>
              </w:rPr>
              <w:t>100,00</w:t>
            </w:r>
          </w:p>
        </w:tc>
      </w:tr>
    </w:tbl>
    <w:p w14:paraId="14305336" w14:textId="74DF55F0" w:rsidR="00FB217C" w:rsidRDefault="00517815" w:rsidP="00FB217C">
      <w:pPr>
        <w:jc w:val="both"/>
        <w:rPr>
          <w:rFonts w:eastAsia="Times New Roman" w:cs="Arial"/>
          <w:sz w:val="16"/>
          <w:szCs w:val="16"/>
          <w:lang w:val="es-ES" w:eastAsia="es-ES"/>
        </w:rPr>
      </w:pPr>
      <w:r w:rsidRPr="00517815">
        <w:rPr>
          <w:rFonts w:eastAsia="Times New Roman" w:cs="Arial"/>
          <w:sz w:val="16"/>
          <w:szCs w:val="16"/>
          <w:lang w:val="es-ES" w:eastAsia="es-ES"/>
        </w:rPr>
        <w:t xml:space="preserve">Fuente: POMCA Lebrija Medio, consultoría para el ajuste (actualización) del plan de ordenación y manejo de la cuenca hidrográfica del rio Lebrija Medio (código 2319-03) de conformidad con los términos establecidos por el fondo de adaptación </w:t>
      </w:r>
      <w:r w:rsidRPr="00517815">
        <w:rPr>
          <w:rFonts w:eastAsia="Times New Roman" w:cs="Arial"/>
          <w:sz w:val="16"/>
          <w:szCs w:val="16"/>
          <w:lang w:val="es-ES" w:eastAsia="es-ES"/>
        </w:rPr>
        <w:lastRenderedPageBreak/>
        <w:t xml:space="preserve">dentro del convenio interadministrativo no. 021 de 2014, adoptado mediante Resolución Conjunta CDMB </w:t>
      </w:r>
      <w:proofErr w:type="spellStart"/>
      <w:r w:rsidRPr="00517815">
        <w:rPr>
          <w:rFonts w:eastAsia="Times New Roman" w:cs="Arial"/>
          <w:sz w:val="16"/>
          <w:szCs w:val="16"/>
          <w:lang w:val="es-ES" w:eastAsia="es-ES"/>
        </w:rPr>
        <w:t>N°</w:t>
      </w:r>
      <w:proofErr w:type="spellEnd"/>
      <w:r w:rsidRPr="00517815">
        <w:rPr>
          <w:rFonts w:eastAsia="Times New Roman" w:cs="Arial"/>
          <w:sz w:val="16"/>
          <w:szCs w:val="16"/>
          <w:lang w:val="es-ES" w:eastAsia="es-ES"/>
        </w:rPr>
        <w:t xml:space="preserve"> 1728 de 27 de diciembre de 2019, CORPONOR </w:t>
      </w:r>
      <w:proofErr w:type="spellStart"/>
      <w:r w:rsidRPr="00517815">
        <w:rPr>
          <w:rFonts w:eastAsia="Times New Roman" w:cs="Arial"/>
          <w:sz w:val="16"/>
          <w:szCs w:val="16"/>
          <w:lang w:val="es-ES" w:eastAsia="es-ES"/>
        </w:rPr>
        <w:t>N°</w:t>
      </w:r>
      <w:proofErr w:type="spellEnd"/>
      <w:r w:rsidRPr="00517815">
        <w:rPr>
          <w:rFonts w:eastAsia="Times New Roman" w:cs="Arial"/>
          <w:sz w:val="16"/>
          <w:szCs w:val="16"/>
          <w:lang w:val="es-ES" w:eastAsia="es-ES"/>
        </w:rPr>
        <w:t xml:space="preserve"> 1522 de 30 de diciembre de 2019, CAS </w:t>
      </w:r>
      <w:proofErr w:type="spellStart"/>
      <w:r w:rsidRPr="00517815">
        <w:rPr>
          <w:rFonts w:eastAsia="Times New Roman" w:cs="Arial"/>
          <w:sz w:val="16"/>
          <w:szCs w:val="16"/>
          <w:lang w:val="es-ES" w:eastAsia="es-ES"/>
        </w:rPr>
        <w:t>N°</w:t>
      </w:r>
      <w:proofErr w:type="spellEnd"/>
      <w:r w:rsidRPr="00517815">
        <w:rPr>
          <w:rFonts w:eastAsia="Times New Roman" w:cs="Arial"/>
          <w:sz w:val="16"/>
          <w:szCs w:val="16"/>
          <w:lang w:val="es-ES" w:eastAsia="es-ES"/>
        </w:rPr>
        <w:t xml:space="preserve"> 1117 de 27 de diciembre de 2019, CORPOCESAR </w:t>
      </w:r>
      <w:proofErr w:type="spellStart"/>
      <w:r w:rsidRPr="00517815">
        <w:rPr>
          <w:rFonts w:eastAsia="Times New Roman" w:cs="Arial"/>
          <w:sz w:val="16"/>
          <w:szCs w:val="16"/>
          <w:lang w:val="es-ES" w:eastAsia="es-ES"/>
        </w:rPr>
        <w:t>N°</w:t>
      </w:r>
      <w:proofErr w:type="spellEnd"/>
      <w:r w:rsidRPr="00517815">
        <w:rPr>
          <w:rFonts w:eastAsia="Times New Roman" w:cs="Arial"/>
          <w:sz w:val="16"/>
          <w:szCs w:val="16"/>
          <w:lang w:val="es-ES" w:eastAsia="es-ES"/>
        </w:rPr>
        <w:t xml:space="preserve"> 1540 de 30 de diciembre de 2019.</w:t>
      </w:r>
    </w:p>
    <w:p w14:paraId="50DE03BF" w14:textId="77777777" w:rsidR="00517815" w:rsidRDefault="00517815" w:rsidP="00FB217C">
      <w:pPr>
        <w:jc w:val="both"/>
        <w:rPr>
          <w:rFonts w:cs="Arial"/>
          <w:b w:val="0"/>
        </w:rPr>
      </w:pPr>
    </w:p>
    <w:p w14:paraId="0B82F3D6" w14:textId="1956D13F" w:rsidR="00FB217C" w:rsidRDefault="005E746D" w:rsidP="00FB217C">
      <w:pPr>
        <w:jc w:val="both"/>
        <w:rPr>
          <w:rFonts w:cs="Arial"/>
          <w:b w:val="0"/>
        </w:rPr>
      </w:pPr>
      <w:r w:rsidRPr="005E746D">
        <w:rPr>
          <w:rFonts w:cs="Arial"/>
          <w:b w:val="0"/>
        </w:rPr>
        <w:t>Las categorías de zonificación ambiental del Plan de Ordenamiento y Manejo de la Cuenca se presentan a continuación:</w:t>
      </w:r>
    </w:p>
    <w:p w14:paraId="290BC1EA" w14:textId="77777777" w:rsidR="005E746D" w:rsidRDefault="005E746D" w:rsidP="00FB217C">
      <w:pPr>
        <w:jc w:val="both"/>
        <w:rPr>
          <w:rFonts w:cs="Arial"/>
          <w:b w:val="0"/>
        </w:rPr>
      </w:pPr>
    </w:p>
    <w:tbl>
      <w:tblPr>
        <w:tblStyle w:val="Tablaconcuadrcula"/>
        <w:tblW w:w="0" w:type="auto"/>
        <w:jc w:val="center"/>
        <w:tblCellMar>
          <w:top w:w="57" w:type="dxa"/>
          <w:left w:w="57" w:type="dxa"/>
          <w:bottom w:w="57" w:type="dxa"/>
          <w:right w:w="57" w:type="dxa"/>
        </w:tblCellMar>
        <w:tblLook w:val="04A0" w:firstRow="1" w:lastRow="0" w:firstColumn="1" w:lastColumn="0" w:noHBand="0" w:noVBand="1"/>
      </w:tblPr>
      <w:tblGrid>
        <w:gridCol w:w="9351"/>
      </w:tblGrid>
      <w:tr w:rsidR="00AF79CE" w:rsidRPr="00AF79CE" w14:paraId="26B963BB" w14:textId="77777777" w:rsidTr="00F54454">
        <w:trPr>
          <w:jc w:val="center"/>
        </w:trPr>
        <w:tc>
          <w:tcPr>
            <w:tcW w:w="9351" w:type="dxa"/>
            <w:vAlign w:val="center"/>
          </w:tcPr>
          <w:p w14:paraId="05AF0758" w14:textId="77777777" w:rsidR="00AF79CE" w:rsidRPr="00AF79CE" w:rsidRDefault="00AF79CE" w:rsidP="00AF79CE">
            <w:pPr>
              <w:rPr>
                <w:rFonts w:cs="Arial"/>
                <w:bCs/>
                <w:sz w:val="20"/>
                <w:szCs w:val="20"/>
                <w:lang w:val="es-ES"/>
              </w:rPr>
            </w:pPr>
            <w:r w:rsidRPr="00AF79CE">
              <w:rPr>
                <w:rFonts w:cs="Arial"/>
                <w:bCs/>
                <w:sz w:val="20"/>
                <w:szCs w:val="20"/>
                <w:lang w:val="es-ES"/>
              </w:rPr>
              <w:t>CATEGORÍA DE CONSERVACIÓN Y PROTECCIÓN AMBIENTAL.</w:t>
            </w:r>
          </w:p>
        </w:tc>
      </w:tr>
      <w:tr w:rsidR="00AF79CE" w:rsidRPr="00AF79CE" w14:paraId="7B688E22" w14:textId="77777777" w:rsidTr="00F54454">
        <w:trPr>
          <w:jc w:val="center"/>
        </w:trPr>
        <w:tc>
          <w:tcPr>
            <w:tcW w:w="9351" w:type="dxa"/>
            <w:vAlign w:val="center"/>
          </w:tcPr>
          <w:p w14:paraId="3133CF95" w14:textId="77777777" w:rsidR="00AF79CE" w:rsidRPr="00AF79CE" w:rsidRDefault="00AF79CE" w:rsidP="00AF79CE">
            <w:pPr>
              <w:jc w:val="both"/>
              <w:rPr>
                <w:rFonts w:cs="Arial"/>
                <w:b w:val="0"/>
                <w:sz w:val="20"/>
                <w:szCs w:val="20"/>
                <w:lang w:val="es-ES"/>
              </w:rPr>
            </w:pPr>
            <w:r w:rsidRPr="00AF79CE">
              <w:rPr>
                <w:rFonts w:cs="Arial"/>
                <w:b w:val="0"/>
                <w:sz w:val="20"/>
                <w:szCs w:val="20"/>
                <w:lang w:val="es-ES"/>
              </w:rPr>
              <w:t>La categoría de conservación y protección ambiental incluye áreas que deben ser objeto especial de protección de acuerdo con la legislación vigente y las que hacen parte de la estructura ecológica principal (MADS, 2014). Dentro de esta categoría, se encuentran las zonas de uso y manejo definidas como las áreas protegidas del SINAP, áreas para protección y restauración.</w:t>
            </w:r>
          </w:p>
          <w:p w14:paraId="2BAF4805" w14:textId="77777777" w:rsidR="00AF79CE" w:rsidRPr="00AF79CE" w:rsidRDefault="00AF79CE" w:rsidP="00AF79CE">
            <w:pPr>
              <w:jc w:val="both"/>
              <w:rPr>
                <w:rFonts w:cs="Arial"/>
                <w:b w:val="0"/>
                <w:sz w:val="20"/>
                <w:szCs w:val="20"/>
                <w:lang w:val="es-ES"/>
              </w:rPr>
            </w:pPr>
          </w:p>
          <w:p w14:paraId="7E6AA6D4" w14:textId="77777777" w:rsidR="00AF79CE" w:rsidRPr="00AF79CE" w:rsidRDefault="00AF79CE" w:rsidP="00AF79CE">
            <w:pPr>
              <w:jc w:val="both"/>
              <w:rPr>
                <w:rFonts w:cs="Arial"/>
                <w:b w:val="0"/>
                <w:sz w:val="20"/>
                <w:szCs w:val="20"/>
                <w:lang w:val="es-ES"/>
              </w:rPr>
            </w:pPr>
            <w:r w:rsidRPr="00AF79CE">
              <w:rPr>
                <w:rFonts w:cs="Arial"/>
                <w:b w:val="0"/>
                <w:sz w:val="20"/>
                <w:szCs w:val="20"/>
                <w:lang w:val="es-ES"/>
              </w:rPr>
              <w:t>Las áreas protegidas por el SINAP son las identificadas para dar cumplimiento a los objetivos generales de conservación del país. Estos objetivos se refieren a asegurar la continuidad de los procesos ecológicos y evolutivos naturales para mantener la biodiversidad, garantizar la oferta de bienes y servicios ambientales esenciales para el bienestar humano y garantizar la permanencia del medio natural como fundamento para el mantenimiento de la diversidad cultural del país y de la valoración social de la naturaleza (MADS, 2014). Las áreas de protección siguen una estrategia in situ que aporta a la planeación y manejo de los recursos naturales renovables.</w:t>
            </w:r>
          </w:p>
          <w:p w14:paraId="5C8F0A00" w14:textId="77777777" w:rsidR="00AF79CE" w:rsidRPr="00AF79CE" w:rsidRDefault="00AF79CE" w:rsidP="00AF79CE">
            <w:pPr>
              <w:jc w:val="both"/>
              <w:rPr>
                <w:rFonts w:cs="Arial"/>
                <w:b w:val="0"/>
                <w:sz w:val="20"/>
                <w:szCs w:val="20"/>
                <w:lang w:val="es-ES"/>
              </w:rPr>
            </w:pPr>
          </w:p>
          <w:p w14:paraId="767F8CEB" w14:textId="77777777" w:rsidR="00AF79CE" w:rsidRPr="00AF79CE" w:rsidRDefault="00AF79CE" w:rsidP="00AF79CE">
            <w:pPr>
              <w:jc w:val="both"/>
              <w:rPr>
                <w:rFonts w:cs="Arial"/>
                <w:b w:val="0"/>
                <w:sz w:val="20"/>
                <w:szCs w:val="20"/>
                <w:lang w:val="es-ES"/>
              </w:rPr>
            </w:pPr>
            <w:r w:rsidRPr="00AF79CE">
              <w:rPr>
                <w:rFonts w:cs="Arial"/>
                <w:b w:val="0"/>
                <w:sz w:val="20"/>
                <w:szCs w:val="20"/>
                <w:lang w:val="es-ES"/>
              </w:rPr>
              <w:t>Por su parte, la restauración se define como el restablecimiento parcial o total de la composición, estructura y función de la biodiversidad que haya sigo alterada o degradada (MADS, 2014). Las zonas de restauración pueden estar gestionadas como restauración ecológica o como rehabilitación. La restauración ecológica consiste en el restablecimiento de un ecosistema que ha sido dañado, degradado o destruido mediante estudios sobre estructura, composición y funcionamiento del ecosistema degradado y de un ecosistema de referencia que brinde información del estado al cual se quiere alcanzar o del estado previo al disturbio. La rehabilitación, en cambio, no implica llegar a un estado original y se enfoca en el restablecimiento de manera parcial de elementos estructurales o funcionales del ecosistema</w:t>
            </w:r>
          </w:p>
          <w:p w14:paraId="559CCCC5" w14:textId="77777777" w:rsidR="00AF79CE" w:rsidRPr="00AF79CE" w:rsidRDefault="00AF79CE" w:rsidP="00AF79CE">
            <w:pPr>
              <w:jc w:val="both"/>
              <w:rPr>
                <w:rFonts w:cs="Arial"/>
                <w:b w:val="0"/>
                <w:sz w:val="20"/>
                <w:szCs w:val="20"/>
                <w:lang w:val="es-ES"/>
              </w:rPr>
            </w:pPr>
          </w:p>
        </w:tc>
      </w:tr>
      <w:tr w:rsidR="00AF79CE" w:rsidRPr="00AF79CE" w14:paraId="2954A233" w14:textId="77777777" w:rsidTr="00F54454">
        <w:trPr>
          <w:jc w:val="center"/>
        </w:trPr>
        <w:tc>
          <w:tcPr>
            <w:tcW w:w="9351" w:type="dxa"/>
            <w:vAlign w:val="center"/>
          </w:tcPr>
          <w:p w14:paraId="7521B61E" w14:textId="77777777" w:rsidR="00AF79CE" w:rsidRPr="00AF79CE" w:rsidRDefault="00AF79CE" w:rsidP="00AF79CE">
            <w:pPr>
              <w:jc w:val="both"/>
              <w:rPr>
                <w:rFonts w:cs="Arial"/>
                <w:bCs/>
                <w:sz w:val="20"/>
                <w:szCs w:val="20"/>
                <w:lang w:val="es-ES"/>
              </w:rPr>
            </w:pPr>
            <w:r w:rsidRPr="00AF79CE">
              <w:rPr>
                <w:rFonts w:cs="Arial"/>
                <w:bCs/>
                <w:sz w:val="20"/>
                <w:szCs w:val="20"/>
                <w:lang w:val="es-ES"/>
              </w:rPr>
              <w:t>Áreas Protegidas</w:t>
            </w:r>
          </w:p>
        </w:tc>
      </w:tr>
      <w:tr w:rsidR="00AF79CE" w:rsidRPr="00AF79CE" w14:paraId="445D18B9" w14:textId="77777777" w:rsidTr="00F54454">
        <w:trPr>
          <w:jc w:val="center"/>
        </w:trPr>
        <w:tc>
          <w:tcPr>
            <w:tcW w:w="9351" w:type="dxa"/>
            <w:vAlign w:val="center"/>
          </w:tcPr>
          <w:p w14:paraId="2EDF3766" w14:textId="77777777" w:rsidR="00AF79CE" w:rsidRPr="00AF79CE" w:rsidRDefault="00AF79CE" w:rsidP="00AF79CE">
            <w:pPr>
              <w:jc w:val="both"/>
              <w:rPr>
                <w:rFonts w:cs="Arial"/>
                <w:b w:val="0"/>
                <w:sz w:val="20"/>
                <w:szCs w:val="20"/>
                <w:lang w:val="es-ES"/>
              </w:rPr>
            </w:pPr>
            <w:r w:rsidRPr="00AF79CE">
              <w:rPr>
                <w:rFonts w:cs="Arial"/>
                <w:b w:val="0"/>
                <w:sz w:val="20"/>
                <w:szCs w:val="20"/>
                <w:lang w:val="es-ES"/>
              </w:rPr>
              <w:t>En el presente capítulo se presenta la información correspondiente a las temáticas áreas protegidas y ecosistemas estratégicos, a través de la cual se identificaron las áreas prioritarias de importancia estratégica para la conservación de la biodiversidad y los servicios ecosistémicos, los cuales se caracterizan por mantener la base natural, que soporta y garantiza la funcionalidad ecosistémica de la cuenca y la capacidad de soporte para el desarrollo socioeconómico de la población.</w:t>
            </w:r>
          </w:p>
        </w:tc>
      </w:tr>
      <w:tr w:rsidR="00AF79CE" w:rsidRPr="00AF79CE" w14:paraId="4FE38C38" w14:textId="77777777" w:rsidTr="00F54454">
        <w:trPr>
          <w:jc w:val="center"/>
        </w:trPr>
        <w:tc>
          <w:tcPr>
            <w:tcW w:w="9351" w:type="dxa"/>
            <w:vAlign w:val="center"/>
          </w:tcPr>
          <w:p w14:paraId="428A54C9" w14:textId="77777777" w:rsidR="00AF79CE" w:rsidRPr="00AF79CE" w:rsidRDefault="00AF79CE" w:rsidP="00AF79CE">
            <w:pPr>
              <w:rPr>
                <w:rFonts w:cs="Arial"/>
                <w:b w:val="0"/>
                <w:sz w:val="20"/>
                <w:szCs w:val="20"/>
                <w:u w:val="single"/>
                <w:lang w:val="es-ES"/>
              </w:rPr>
            </w:pPr>
            <w:r w:rsidRPr="00AF79CE">
              <w:rPr>
                <w:rFonts w:cs="Arial"/>
                <w:b w:val="0"/>
                <w:sz w:val="20"/>
                <w:szCs w:val="20"/>
                <w:u w:val="single"/>
                <w:lang w:val="es-ES"/>
              </w:rPr>
              <w:t>Sistema Nacional de Áreas Protegidas - SINAP</w:t>
            </w:r>
          </w:p>
        </w:tc>
      </w:tr>
      <w:tr w:rsidR="00AF79CE" w:rsidRPr="00AF79CE" w14:paraId="1613B080" w14:textId="77777777" w:rsidTr="00F54454">
        <w:trPr>
          <w:jc w:val="center"/>
        </w:trPr>
        <w:tc>
          <w:tcPr>
            <w:tcW w:w="9351" w:type="dxa"/>
            <w:vAlign w:val="center"/>
          </w:tcPr>
          <w:p w14:paraId="67871B14" w14:textId="77777777" w:rsidR="00AF79CE" w:rsidRPr="00AF79CE" w:rsidRDefault="00AF79CE" w:rsidP="00AF79CE">
            <w:pPr>
              <w:jc w:val="both"/>
              <w:rPr>
                <w:rFonts w:cs="Arial"/>
                <w:b w:val="0"/>
                <w:sz w:val="20"/>
                <w:szCs w:val="20"/>
                <w:lang w:val="es-ES"/>
              </w:rPr>
            </w:pPr>
            <w:r w:rsidRPr="00AF79CE">
              <w:rPr>
                <w:rFonts w:cs="Arial"/>
                <w:b w:val="0"/>
                <w:sz w:val="20"/>
                <w:szCs w:val="20"/>
                <w:lang w:val="es-ES"/>
              </w:rPr>
              <w:t>Es el conjunto de áreas protegidas, actores sociales, estrategias e instrumentos de gestión que las articulan, para contribuir como un todo al cumplimiento de los objetivos de conservación del país. Incluye todas las áreas protegidas de gobernanza pública, privada o comunitaria, y del ámbito de gestión nacional, regional o local.</w:t>
            </w:r>
          </w:p>
          <w:p w14:paraId="4526CD32" w14:textId="77777777" w:rsidR="00AF79CE" w:rsidRPr="00AF79CE" w:rsidRDefault="00AF79CE" w:rsidP="00AF79CE">
            <w:pPr>
              <w:jc w:val="both"/>
              <w:rPr>
                <w:rFonts w:cs="Arial"/>
                <w:b w:val="0"/>
                <w:sz w:val="20"/>
                <w:szCs w:val="20"/>
                <w:lang w:val="es-ES"/>
              </w:rPr>
            </w:pPr>
          </w:p>
          <w:p w14:paraId="7C9AC576" w14:textId="77777777" w:rsidR="00AF79CE" w:rsidRPr="00AF79CE" w:rsidRDefault="00AF79CE" w:rsidP="00AF79CE">
            <w:pPr>
              <w:jc w:val="both"/>
              <w:rPr>
                <w:rFonts w:cs="Arial"/>
                <w:b w:val="0"/>
                <w:sz w:val="20"/>
                <w:szCs w:val="20"/>
                <w:lang w:val="es-ES"/>
              </w:rPr>
            </w:pPr>
            <w:r w:rsidRPr="00AF79CE">
              <w:rPr>
                <w:rFonts w:cs="Arial"/>
                <w:b w:val="0"/>
                <w:sz w:val="20"/>
                <w:szCs w:val="20"/>
                <w:lang w:val="es-ES"/>
              </w:rPr>
              <w:t>Las áreas que integran el Sistema Nacional de Áreas Protegidas (SINAP), responden en su selección, declaración y manejo, a unos objetivos de conservación, los cuales se encuentran amparados en el marco de objetivos generales y específicos que son el fundamento de la declaratoria y que son de utilidad a la hora de analizar los objetivos específicos de conservación por los que fueron declaradas.</w:t>
            </w:r>
          </w:p>
          <w:p w14:paraId="589638F3" w14:textId="77777777" w:rsidR="00AF79CE" w:rsidRPr="00AF79CE" w:rsidRDefault="00AF79CE" w:rsidP="00AF79CE">
            <w:pPr>
              <w:jc w:val="both"/>
              <w:rPr>
                <w:rFonts w:cs="Arial"/>
                <w:b w:val="0"/>
                <w:sz w:val="20"/>
                <w:szCs w:val="20"/>
                <w:lang w:val="es-ES"/>
              </w:rPr>
            </w:pPr>
          </w:p>
        </w:tc>
      </w:tr>
      <w:tr w:rsidR="00AF79CE" w:rsidRPr="00AF79CE" w14:paraId="60AEC8B0" w14:textId="77777777" w:rsidTr="00F54454">
        <w:trPr>
          <w:jc w:val="center"/>
        </w:trPr>
        <w:tc>
          <w:tcPr>
            <w:tcW w:w="9351" w:type="dxa"/>
            <w:vAlign w:val="center"/>
          </w:tcPr>
          <w:p w14:paraId="0C66D966" w14:textId="77777777" w:rsidR="00AF79CE" w:rsidRPr="00AF79CE" w:rsidRDefault="00AF79CE" w:rsidP="00AF79CE">
            <w:pPr>
              <w:rPr>
                <w:rFonts w:cs="Arial"/>
                <w:b w:val="0"/>
                <w:sz w:val="20"/>
                <w:szCs w:val="20"/>
                <w:u w:val="single"/>
                <w:lang w:val="es-ES"/>
              </w:rPr>
            </w:pPr>
            <w:r w:rsidRPr="00AF79CE">
              <w:rPr>
                <w:rFonts w:cs="Arial"/>
                <w:b w:val="0"/>
                <w:sz w:val="20"/>
                <w:szCs w:val="20"/>
                <w:u w:val="single"/>
                <w:lang w:val="es-ES"/>
              </w:rPr>
              <w:lastRenderedPageBreak/>
              <w:t>Sistema Regional de Áreas Protegidas del Departamento de Santander - SIRAP.</w:t>
            </w:r>
          </w:p>
        </w:tc>
      </w:tr>
      <w:tr w:rsidR="00AF79CE" w:rsidRPr="00AF79CE" w14:paraId="344F410B" w14:textId="77777777" w:rsidTr="00F54454">
        <w:trPr>
          <w:jc w:val="center"/>
        </w:trPr>
        <w:tc>
          <w:tcPr>
            <w:tcW w:w="9351" w:type="dxa"/>
            <w:vAlign w:val="center"/>
          </w:tcPr>
          <w:p w14:paraId="2C55EF57" w14:textId="77777777" w:rsidR="00AF79CE" w:rsidRPr="00AF79CE" w:rsidRDefault="00AF79CE" w:rsidP="00AF79CE">
            <w:pPr>
              <w:jc w:val="both"/>
              <w:rPr>
                <w:rFonts w:cs="Arial"/>
                <w:b w:val="0"/>
                <w:sz w:val="20"/>
                <w:szCs w:val="20"/>
                <w:lang w:val="es-ES"/>
              </w:rPr>
            </w:pPr>
            <w:r w:rsidRPr="00AF79CE">
              <w:rPr>
                <w:rFonts w:cs="Arial"/>
                <w:b w:val="0"/>
                <w:sz w:val="20"/>
                <w:szCs w:val="20"/>
                <w:lang w:val="es-ES"/>
              </w:rPr>
              <w:t>Se constituye en la unidad básica de SINAP, que articula las iniciativas de conservación del nivel regional y local dentro de un sistema que permite atender las necesidades de conservación de la biodiversidad y asegurar para las generaciones presentes y futuras la oferta de bienes y servicios ambientales.</w:t>
            </w:r>
          </w:p>
          <w:p w14:paraId="77CBA98E" w14:textId="77777777" w:rsidR="00AF79CE" w:rsidRPr="00AF79CE" w:rsidRDefault="00AF79CE" w:rsidP="00AF79CE">
            <w:pPr>
              <w:jc w:val="both"/>
              <w:rPr>
                <w:rFonts w:cs="Arial"/>
                <w:b w:val="0"/>
                <w:sz w:val="20"/>
                <w:szCs w:val="20"/>
                <w:lang w:val="es-ES"/>
              </w:rPr>
            </w:pPr>
          </w:p>
          <w:p w14:paraId="5B349B54" w14:textId="77777777" w:rsidR="00AF79CE" w:rsidRPr="00AF79CE" w:rsidRDefault="00AF79CE" w:rsidP="00AF79CE">
            <w:pPr>
              <w:jc w:val="both"/>
              <w:rPr>
                <w:rFonts w:cs="Arial"/>
                <w:b w:val="0"/>
                <w:sz w:val="20"/>
                <w:szCs w:val="20"/>
                <w:lang w:val="es-ES"/>
              </w:rPr>
            </w:pPr>
            <w:r w:rsidRPr="00AF79CE">
              <w:rPr>
                <w:rFonts w:cs="Arial"/>
                <w:b w:val="0"/>
                <w:sz w:val="20"/>
                <w:szCs w:val="20"/>
                <w:lang w:val="es-ES"/>
              </w:rPr>
              <w:t>Jurídicamente, el SIRAP está definido como “...el conjunto de las áreas que constituyen: las áreas declaradas dentro del sistema de Parques Nacionales Naturales, las zonas de Reserva Forestal de Ley 2ª/59 y las establecidas mediante resoluciones del extinto INDERENA, las áreas establecidas como áreas de especial significancia ambiental territorial en los planes, esquemas y planes básicos de ordenamiento territorial de los municipios santandereanos, las áreas cofinanciadas conforme al artículo 111 de la Ley 99/93, las áreas declaradas como protegidas por los municipios, las áreas de reserva de la sociedad civil, las zonas de páramos, subpáramos, los nacimientos de agua y las zonas de recarga de acuíferos, las cuencas hidrográficas en ordenación y las zonas de utilidad pública (consideradas en el Decreto-Ley 2811/74).</w:t>
            </w:r>
          </w:p>
          <w:p w14:paraId="0C37D157" w14:textId="77777777" w:rsidR="00AF79CE" w:rsidRPr="00AF79CE" w:rsidRDefault="00AF79CE" w:rsidP="00AF79CE">
            <w:pPr>
              <w:jc w:val="both"/>
              <w:rPr>
                <w:rFonts w:cs="Arial"/>
                <w:b w:val="0"/>
                <w:sz w:val="20"/>
                <w:szCs w:val="20"/>
                <w:lang w:val="es-ES"/>
              </w:rPr>
            </w:pPr>
          </w:p>
          <w:p w14:paraId="5466B8B1" w14:textId="77777777" w:rsidR="00AF79CE" w:rsidRPr="00AF79CE" w:rsidRDefault="00AF79CE" w:rsidP="00AF79CE">
            <w:pPr>
              <w:jc w:val="both"/>
              <w:rPr>
                <w:rFonts w:cs="Arial"/>
                <w:b w:val="0"/>
                <w:sz w:val="20"/>
                <w:szCs w:val="20"/>
                <w:lang w:val="es-ES"/>
              </w:rPr>
            </w:pPr>
            <w:r w:rsidRPr="00AF79CE">
              <w:rPr>
                <w:rFonts w:cs="Arial"/>
                <w:b w:val="0"/>
                <w:sz w:val="20"/>
                <w:szCs w:val="20"/>
                <w:lang w:val="es-ES"/>
              </w:rPr>
              <w:t>A continuación, se presenta la categorización realizada en temas de áreas protegidas y ecosistemas estratégicos de acuerdo a la Guía General de POMCAS – Anexo A y se define su presencia al interior de la cuenca.</w:t>
            </w:r>
          </w:p>
          <w:p w14:paraId="03C84016" w14:textId="77777777" w:rsidR="00AF79CE" w:rsidRPr="00AF79CE" w:rsidRDefault="00AF79CE" w:rsidP="00AF79CE">
            <w:pPr>
              <w:jc w:val="both"/>
              <w:rPr>
                <w:rFonts w:cs="Arial"/>
                <w:b w:val="0"/>
                <w:sz w:val="20"/>
                <w:szCs w:val="20"/>
                <w:lang w:val="es-ES"/>
              </w:rPr>
            </w:pPr>
          </w:p>
        </w:tc>
      </w:tr>
      <w:tr w:rsidR="00AF79CE" w:rsidRPr="00AF79CE" w14:paraId="56627CF1" w14:textId="77777777" w:rsidTr="00F54454">
        <w:trPr>
          <w:jc w:val="center"/>
        </w:trPr>
        <w:tc>
          <w:tcPr>
            <w:tcW w:w="9351" w:type="dxa"/>
            <w:vAlign w:val="center"/>
          </w:tcPr>
          <w:p w14:paraId="398C4C93" w14:textId="77777777" w:rsidR="00AF79CE" w:rsidRPr="00AF79CE" w:rsidRDefault="00AF79CE" w:rsidP="00AF79CE">
            <w:pPr>
              <w:rPr>
                <w:rFonts w:cs="Arial"/>
                <w:b w:val="0"/>
                <w:sz w:val="20"/>
                <w:szCs w:val="20"/>
                <w:u w:val="single"/>
                <w:lang w:val="es-ES"/>
              </w:rPr>
            </w:pPr>
            <w:r w:rsidRPr="00AF79CE">
              <w:rPr>
                <w:rFonts w:cs="Arial"/>
                <w:b w:val="0"/>
                <w:sz w:val="20"/>
                <w:szCs w:val="20"/>
                <w:u w:val="single"/>
                <w:lang w:val="es-ES"/>
              </w:rPr>
              <w:t>Áreas de importancia ambiental (Ecosistemas estratégicos)</w:t>
            </w:r>
          </w:p>
        </w:tc>
      </w:tr>
      <w:tr w:rsidR="00AF79CE" w:rsidRPr="00AF79CE" w14:paraId="5EC4FFBB" w14:textId="77777777" w:rsidTr="00F54454">
        <w:trPr>
          <w:jc w:val="center"/>
        </w:trPr>
        <w:tc>
          <w:tcPr>
            <w:tcW w:w="9351" w:type="dxa"/>
            <w:vAlign w:val="center"/>
          </w:tcPr>
          <w:p w14:paraId="1B6005B7" w14:textId="77777777" w:rsidR="00AF79CE" w:rsidRPr="00AF79CE" w:rsidRDefault="00AF79CE" w:rsidP="00AF79CE">
            <w:pPr>
              <w:jc w:val="both"/>
              <w:rPr>
                <w:rFonts w:cs="Arial"/>
                <w:b w:val="0"/>
                <w:sz w:val="20"/>
                <w:szCs w:val="20"/>
                <w:lang w:val="es-ES"/>
              </w:rPr>
            </w:pPr>
            <w:r w:rsidRPr="00AF79CE">
              <w:rPr>
                <w:rFonts w:cs="Arial"/>
                <w:b w:val="0"/>
                <w:sz w:val="20"/>
                <w:szCs w:val="20"/>
                <w:lang w:val="es-ES"/>
              </w:rPr>
              <w:t>Para definir los ecosistemas estratégicos se siguieron los lineamientos desarrollados por Márquez (2003)62.</w:t>
            </w:r>
          </w:p>
          <w:p w14:paraId="4DC800FE" w14:textId="77777777" w:rsidR="00AF79CE" w:rsidRPr="00AF79CE" w:rsidRDefault="00AF79CE" w:rsidP="00AF79CE">
            <w:pPr>
              <w:jc w:val="both"/>
              <w:rPr>
                <w:rFonts w:cs="Arial"/>
                <w:b w:val="0"/>
                <w:sz w:val="20"/>
                <w:szCs w:val="20"/>
                <w:lang w:val="es-ES"/>
              </w:rPr>
            </w:pPr>
          </w:p>
          <w:p w14:paraId="0CDADD01" w14:textId="77777777" w:rsidR="00AF79CE" w:rsidRPr="00AF79CE" w:rsidRDefault="00AF79CE" w:rsidP="00AF79CE">
            <w:pPr>
              <w:jc w:val="both"/>
              <w:rPr>
                <w:rFonts w:cs="Arial"/>
                <w:b w:val="0"/>
                <w:sz w:val="20"/>
                <w:szCs w:val="20"/>
                <w:lang w:val="es-ES"/>
              </w:rPr>
            </w:pPr>
            <w:r w:rsidRPr="00AF79CE">
              <w:rPr>
                <w:rFonts w:cs="Arial"/>
                <w:b w:val="0"/>
                <w:sz w:val="20"/>
                <w:szCs w:val="20"/>
                <w:lang w:val="es-ES"/>
              </w:rPr>
              <w:t>Los ecosistemas estratégicos son aquellos que prestan bienes y servicios ambientales básicos para el mantenimiento de la calidad de vida de las sociedades humanas, esto es, para la satisfacción de necesidades básicas, la continuidad de procesos productivos industriales y agropecuarios, la prevención de riesgos de origen ambiental y la conservación de estructuras y procesos ecológicos fundamentales, tales como la regulación climática e hídrica o la protección de la biodiversidad. Los ecosistemas estratégicos se pueden clasificar desde el punto de</w:t>
            </w:r>
          </w:p>
          <w:p w14:paraId="435D22D7" w14:textId="77777777" w:rsidR="00AF79CE" w:rsidRPr="00AF79CE" w:rsidRDefault="00AF79CE" w:rsidP="00AF79CE">
            <w:pPr>
              <w:jc w:val="both"/>
              <w:rPr>
                <w:rFonts w:cs="Arial"/>
                <w:b w:val="0"/>
                <w:sz w:val="20"/>
                <w:szCs w:val="20"/>
                <w:lang w:val="es-ES"/>
              </w:rPr>
            </w:pPr>
          </w:p>
          <w:p w14:paraId="670E63C6" w14:textId="77777777" w:rsidR="00AF79CE" w:rsidRPr="00AF79CE" w:rsidRDefault="00AF79CE" w:rsidP="00AF79CE">
            <w:pPr>
              <w:jc w:val="both"/>
              <w:rPr>
                <w:rFonts w:cs="Arial"/>
                <w:b w:val="0"/>
                <w:sz w:val="20"/>
                <w:szCs w:val="20"/>
                <w:lang w:val="es-ES"/>
              </w:rPr>
            </w:pPr>
            <w:r w:rsidRPr="00AF79CE">
              <w:rPr>
                <w:rFonts w:cs="Arial"/>
                <w:b w:val="0"/>
                <w:sz w:val="20"/>
                <w:szCs w:val="20"/>
                <w:lang w:val="es-ES"/>
              </w:rPr>
              <w:t>vista de su función, área de influencia y alto riesgo. Esta clasificación se presenta tomando como referencia la alta biodiversidad del patrimonio natural ubicado en las diferentes unidades biogeográficas del país; la función del sector ambiental de oferente de bienes y servicios necesarios para sustentar la base alimentaría de la población y los procesos productivos de los diferentes sectores económicos; y la incidencia de áreas naturales que afectan al bienestar de la población y el sistema alimentario, debido al riesgo por desastres naturales. CE&amp;A LTDA. 2009.</w:t>
            </w:r>
          </w:p>
          <w:p w14:paraId="2E16A2AF" w14:textId="77777777" w:rsidR="00AF79CE" w:rsidRPr="00AF79CE" w:rsidRDefault="00AF79CE" w:rsidP="00AF79CE">
            <w:pPr>
              <w:jc w:val="both"/>
              <w:rPr>
                <w:rFonts w:cs="Arial"/>
                <w:b w:val="0"/>
                <w:sz w:val="20"/>
                <w:szCs w:val="20"/>
                <w:lang w:val="es-ES"/>
              </w:rPr>
            </w:pPr>
          </w:p>
          <w:p w14:paraId="356BE1CD" w14:textId="77777777" w:rsidR="00AF79CE" w:rsidRPr="00AF79CE" w:rsidRDefault="00AF79CE" w:rsidP="00AF79CE">
            <w:pPr>
              <w:jc w:val="both"/>
              <w:rPr>
                <w:rFonts w:cs="Arial"/>
                <w:b w:val="0"/>
                <w:sz w:val="20"/>
                <w:szCs w:val="20"/>
                <w:lang w:val="es-ES"/>
              </w:rPr>
            </w:pPr>
            <w:r w:rsidRPr="00AF79CE">
              <w:rPr>
                <w:rFonts w:cs="Arial"/>
                <w:b w:val="0"/>
                <w:sz w:val="20"/>
                <w:szCs w:val="20"/>
                <w:lang w:val="es-ES"/>
              </w:rPr>
              <w:t>Para la identificación de los ecosistemas estratégicos en la cuenca se consideró el método de Márquez (2003). Este es un método simple por el cual se determina si una zona debe ser protegida, restaurada, conservada o utilizada de mejor manera. Según el autor, como principio general toda área debería conservar como mínimo un 30% de su cobertura original, y estas áreas dentro de cualquier unidad (cuenca, municipio, departamento u otras) deben ser estratégicas.</w:t>
            </w:r>
          </w:p>
          <w:p w14:paraId="06C2413B" w14:textId="77777777" w:rsidR="00AF79CE" w:rsidRPr="00AF79CE" w:rsidRDefault="00AF79CE" w:rsidP="00AF79CE">
            <w:pPr>
              <w:jc w:val="both"/>
              <w:rPr>
                <w:rFonts w:cs="Arial"/>
                <w:b w:val="0"/>
                <w:sz w:val="20"/>
                <w:szCs w:val="20"/>
                <w:lang w:val="es-ES"/>
              </w:rPr>
            </w:pPr>
          </w:p>
          <w:p w14:paraId="654D1A0C" w14:textId="77777777" w:rsidR="00AF79CE" w:rsidRPr="00AF79CE" w:rsidRDefault="00AF79CE" w:rsidP="00AF79CE">
            <w:pPr>
              <w:jc w:val="both"/>
              <w:rPr>
                <w:rFonts w:cs="Arial"/>
                <w:b w:val="0"/>
                <w:sz w:val="20"/>
                <w:szCs w:val="20"/>
                <w:lang w:val="es-ES"/>
              </w:rPr>
            </w:pPr>
            <w:r w:rsidRPr="00AF79CE">
              <w:rPr>
                <w:rFonts w:cs="Arial"/>
                <w:b w:val="0"/>
                <w:sz w:val="20"/>
                <w:szCs w:val="20"/>
                <w:lang w:val="es-ES"/>
              </w:rPr>
              <w:t xml:space="preserve">Para la cuenca se concluye que los ecosistemas naturales remanentes deben ser considerados como ecosistemas estratégicos, teniendo en cuenta su porcentaje de representación en la cuenca, la tendencia </w:t>
            </w:r>
            <w:r w:rsidRPr="00AF79CE">
              <w:rPr>
                <w:rFonts w:cs="Arial"/>
                <w:b w:val="0"/>
                <w:sz w:val="20"/>
                <w:szCs w:val="20"/>
                <w:lang w:val="es-ES"/>
              </w:rPr>
              <w:lastRenderedPageBreak/>
              <w:t>de transformación de ecosistemas observada, y la función que cumplen los ecosistemas en el mantenimiento del equilibrio socioambiental a través de la regulación hídrica y climática, la prevención de inundaciones así como de riesgos por erosión y deslizamientos, y el mantenimiento de la biodiversidad, lo cual en últimas redunda en la calidad de vida de los habitantes. CE&amp;A LTDA. 2009.</w:t>
            </w:r>
          </w:p>
          <w:p w14:paraId="59ED1F3E" w14:textId="77777777" w:rsidR="00AF79CE" w:rsidRPr="00AF79CE" w:rsidRDefault="00AF79CE" w:rsidP="00AF79CE">
            <w:pPr>
              <w:jc w:val="both"/>
              <w:rPr>
                <w:rFonts w:cs="Arial"/>
                <w:b w:val="0"/>
                <w:sz w:val="20"/>
                <w:szCs w:val="20"/>
                <w:lang w:val="es-ES"/>
              </w:rPr>
            </w:pPr>
          </w:p>
          <w:p w14:paraId="78D4620A" w14:textId="77777777" w:rsidR="00AF79CE" w:rsidRPr="00AF79CE" w:rsidRDefault="00AF79CE" w:rsidP="00AF79CE">
            <w:pPr>
              <w:jc w:val="both"/>
              <w:rPr>
                <w:rFonts w:cs="Arial"/>
                <w:b w:val="0"/>
                <w:sz w:val="20"/>
                <w:szCs w:val="20"/>
                <w:lang w:val="es-ES"/>
              </w:rPr>
            </w:pPr>
            <w:r w:rsidRPr="00AF79CE">
              <w:rPr>
                <w:rFonts w:cs="Arial"/>
                <w:b w:val="0"/>
                <w:sz w:val="20"/>
                <w:szCs w:val="20"/>
                <w:lang w:val="es-ES"/>
              </w:rPr>
              <w:t>A continuación, se presentarán los ecosistemas estratégicos definidos para la cuenca del río Lebrija medio con base a la caracterización realizada en los componentes físicos y bióticos.</w:t>
            </w:r>
          </w:p>
          <w:p w14:paraId="06C215A5" w14:textId="77777777" w:rsidR="00AF79CE" w:rsidRPr="00AF79CE" w:rsidRDefault="00AF79CE" w:rsidP="00AF79CE">
            <w:pPr>
              <w:jc w:val="both"/>
              <w:rPr>
                <w:rFonts w:cs="Arial"/>
                <w:b w:val="0"/>
                <w:sz w:val="20"/>
                <w:szCs w:val="20"/>
                <w:lang w:val="es-ES"/>
              </w:rPr>
            </w:pPr>
          </w:p>
        </w:tc>
      </w:tr>
      <w:tr w:rsidR="00AF79CE" w:rsidRPr="00AF79CE" w14:paraId="1E078997" w14:textId="77777777" w:rsidTr="00F54454">
        <w:trPr>
          <w:jc w:val="center"/>
        </w:trPr>
        <w:tc>
          <w:tcPr>
            <w:tcW w:w="9351" w:type="dxa"/>
            <w:vAlign w:val="center"/>
          </w:tcPr>
          <w:p w14:paraId="7EA51445" w14:textId="487AC602" w:rsidR="00AF79CE" w:rsidRPr="00AF79CE" w:rsidRDefault="00AF79CE" w:rsidP="00AF79CE">
            <w:pPr>
              <w:jc w:val="both"/>
              <w:rPr>
                <w:rFonts w:cs="Arial"/>
                <w:b w:val="0"/>
                <w:sz w:val="20"/>
                <w:szCs w:val="20"/>
                <w:u w:val="single"/>
                <w:lang w:val="es-ES"/>
              </w:rPr>
            </w:pPr>
            <w:r w:rsidRPr="00AF79CE">
              <w:rPr>
                <w:rFonts w:cs="Arial"/>
                <w:b w:val="0"/>
                <w:sz w:val="20"/>
                <w:szCs w:val="20"/>
                <w:u w:val="single"/>
                <w:lang w:val="es-ES"/>
              </w:rPr>
              <w:lastRenderedPageBreak/>
              <w:t xml:space="preserve">Bosques </w:t>
            </w:r>
            <w:r w:rsidR="007A3E33" w:rsidRPr="00AF79CE">
              <w:rPr>
                <w:rFonts w:cs="Arial"/>
                <w:b w:val="0"/>
                <w:sz w:val="20"/>
                <w:szCs w:val="20"/>
                <w:u w:val="single"/>
                <w:lang w:val="es-ES"/>
              </w:rPr>
              <w:t>Relictuales</w:t>
            </w:r>
          </w:p>
        </w:tc>
      </w:tr>
      <w:tr w:rsidR="00AF79CE" w:rsidRPr="00AF79CE" w14:paraId="5366861B" w14:textId="77777777" w:rsidTr="00F54454">
        <w:trPr>
          <w:jc w:val="center"/>
        </w:trPr>
        <w:tc>
          <w:tcPr>
            <w:tcW w:w="9351" w:type="dxa"/>
            <w:vAlign w:val="center"/>
          </w:tcPr>
          <w:p w14:paraId="22361656" w14:textId="77777777" w:rsidR="00AF79CE" w:rsidRPr="00AF79CE" w:rsidRDefault="00AF79CE" w:rsidP="00AF79CE">
            <w:pPr>
              <w:jc w:val="both"/>
              <w:rPr>
                <w:rFonts w:cs="Arial"/>
                <w:b w:val="0"/>
                <w:sz w:val="20"/>
                <w:szCs w:val="20"/>
                <w:lang w:val="es-ES"/>
              </w:rPr>
            </w:pPr>
          </w:p>
          <w:tbl>
            <w:tblPr>
              <w:tblStyle w:val="Tablaconcuadrcula"/>
              <w:tblW w:w="0" w:type="auto"/>
              <w:jc w:val="center"/>
              <w:tblLook w:val="04A0" w:firstRow="1" w:lastRow="0" w:firstColumn="1" w:lastColumn="0" w:noHBand="0" w:noVBand="1"/>
            </w:tblPr>
            <w:tblGrid>
              <w:gridCol w:w="1243"/>
              <w:gridCol w:w="1396"/>
            </w:tblGrid>
            <w:tr w:rsidR="00AF79CE" w:rsidRPr="00AF79CE" w14:paraId="1E289A27" w14:textId="77777777" w:rsidTr="00882749">
              <w:trPr>
                <w:trHeight w:val="284"/>
                <w:jc w:val="center"/>
              </w:trPr>
              <w:tc>
                <w:tcPr>
                  <w:tcW w:w="1243" w:type="dxa"/>
                  <w:vAlign w:val="center"/>
                </w:tcPr>
                <w:p w14:paraId="1003A8BA" w14:textId="77777777" w:rsidR="00AF79CE" w:rsidRPr="00AF79CE" w:rsidRDefault="00AF79CE" w:rsidP="00AF79CE">
                  <w:pPr>
                    <w:jc w:val="center"/>
                    <w:rPr>
                      <w:rFonts w:cs="Arial"/>
                      <w:sz w:val="16"/>
                      <w:szCs w:val="16"/>
                      <w:lang w:val="es-ES"/>
                    </w:rPr>
                  </w:pPr>
                  <w:r w:rsidRPr="00AF79CE">
                    <w:rPr>
                      <w:rFonts w:cs="Arial"/>
                      <w:sz w:val="16"/>
                      <w:szCs w:val="16"/>
                      <w:lang w:val="es-ES"/>
                    </w:rPr>
                    <w:t>SIMBOLO DT</w:t>
                  </w:r>
                </w:p>
              </w:tc>
              <w:tc>
                <w:tcPr>
                  <w:tcW w:w="1396" w:type="dxa"/>
                  <w:vAlign w:val="center"/>
                </w:tcPr>
                <w:p w14:paraId="776CA5FC" w14:textId="77777777" w:rsidR="00AF79CE" w:rsidRPr="00AF79CE" w:rsidRDefault="00AF79CE" w:rsidP="00AF79CE">
                  <w:pPr>
                    <w:jc w:val="center"/>
                    <w:rPr>
                      <w:rFonts w:cs="Arial"/>
                      <w:sz w:val="16"/>
                      <w:szCs w:val="16"/>
                      <w:lang w:val="es-ES"/>
                    </w:rPr>
                  </w:pPr>
                  <w:r w:rsidRPr="00AF79CE">
                    <w:rPr>
                      <w:rFonts w:cs="Arial"/>
                      <w:sz w:val="16"/>
                      <w:szCs w:val="16"/>
                      <w:lang w:val="es-ES"/>
                    </w:rPr>
                    <w:t>SIMBOLO GDB</w:t>
                  </w:r>
                </w:p>
              </w:tc>
            </w:tr>
            <w:tr w:rsidR="00AF79CE" w:rsidRPr="00AF79CE" w14:paraId="219B8B5F" w14:textId="77777777" w:rsidTr="00882749">
              <w:trPr>
                <w:trHeight w:val="284"/>
                <w:jc w:val="center"/>
              </w:trPr>
              <w:tc>
                <w:tcPr>
                  <w:tcW w:w="1243" w:type="dxa"/>
                  <w:shd w:val="clear" w:color="auto" w:fill="38A800"/>
                  <w:vAlign w:val="center"/>
                </w:tcPr>
                <w:p w14:paraId="16AE8956" w14:textId="77777777" w:rsidR="00AF79CE" w:rsidRPr="00AF79CE" w:rsidRDefault="00AF79CE" w:rsidP="00AF79CE">
                  <w:pPr>
                    <w:jc w:val="center"/>
                    <w:rPr>
                      <w:rFonts w:cs="Arial"/>
                      <w:b w:val="0"/>
                      <w:sz w:val="16"/>
                      <w:szCs w:val="16"/>
                      <w:lang w:val="es-ES"/>
                    </w:rPr>
                  </w:pPr>
                  <w:r w:rsidRPr="00AF79CE">
                    <w:rPr>
                      <w:rFonts w:cs="Arial"/>
                      <w:b w:val="0"/>
                      <w:sz w:val="16"/>
                      <w:szCs w:val="16"/>
                      <w:lang w:val="es-ES"/>
                    </w:rPr>
                    <w:t>C – 10</w:t>
                  </w:r>
                </w:p>
              </w:tc>
              <w:tc>
                <w:tcPr>
                  <w:tcW w:w="1396" w:type="dxa"/>
                  <w:shd w:val="clear" w:color="auto" w:fill="38A800"/>
                  <w:vAlign w:val="center"/>
                </w:tcPr>
                <w:p w14:paraId="40D76070" w14:textId="77777777" w:rsidR="00AF79CE" w:rsidRPr="00AF79CE" w:rsidRDefault="00AF79CE" w:rsidP="00AF79CE">
                  <w:pPr>
                    <w:jc w:val="center"/>
                    <w:rPr>
                      <w:rFonts w:cs="Arial"/>
                      <w:b w:val="0"/>
                      <w:sz w:val="16"/>
                      <w:szCs w:val="16"/>
                      <w:lang w:val="es-ES"/>
                    </w:rPr>
                  </w:pPr>
                  <w:r w:rsidRPr="00AF79CE">
                    <w:rPr>
                      <w:rFonts w:cs="Arial"/>
                      <w:b w:val="0"/>
                      <w:sz w:val="16"/>
                      <w:szCs w:val="16"/>
                      <w:lang w:val="es-ES"/>
                    </w:rPr>
                    <w:t>BR</w:t>
                  </w:r>
                </w:p>
              </w:tc>
            </w:tr>
          </w:tbl>
          <w:p w14:paraId="673E7774" w14:textId="77777777" w:rsidR="00AF79CE" w:rsidRPr="00AF79CE" w:rsidRDefault="00AF79CE" w:rsidP="00AF79CE">
            <w:pPr>
              <w:jc w:val="both"/>
              <w:rPr>
                <w:rFonts w:cs="Arial"/>
                <w:b w:val="0"/>
                <w:sz w:val="20"/>
                <w:szCs w:val="20"/>
                <w:lang w:val="es-ES"/>
              </w:rPr>
            </w:pPr>
          </w:p>
          <w:p w14:paraId="627982F7" w14:textId="77777777" w:rsidR="00AF79CE" w:rsidRPr="00AF79CE" w:rsidRDefault="00AF79CE" w:rsidP="00AF79CE">
            <w:pPr>
              <w:jc w:val="both"/>
              <w:rPr>
                <w:rFonts w:cs="Arial"/>
                <w:b w:val="0"/>
                <w:sz w:val="20"/>
                <w:szCs w:val="20"/>
                <w:lang w:val="es-ES"/>
              </w:rPr>
            </w:pPr>
            <w:r w:rsidRPr="00AF79CE">
              <w:rPr>
                <w:rFonts w:cs="Arial"/>
                <w:b w:val="0"/>
                <w:sz w:val="20"/>
                <w:szCs w:val="20"/>
                <w:lang w:val="es-ES"/>
              </w:rPr>
              <w:t>Debido al alto grado de transformación que ha tenido la cuenca Lebrija Medio, las áreas de bosques se han visto reducidas, por lo cual para el presente estudio se hizo una clasificación de estos teniendo en cuenta la variable altitudinal y el tipo de vegetación presente. Estas áreas se consideran de especial interés para su conservación dentro de la cuenca; a continuación, se presentan:</w:t>
            </w:r>
          </w:p>
          <w:p w14:paraId="6AA23829" w14:textId="77777777" w:rsidR="00AF79CE" w:rsidRPr="00AF79CE" w:rsidRDefault="00AF79CE" w:rsidP="00AF79CE">
            <w:pPr>
              <w:jc w:val="both"/>
              <w:rPr>
                <w:rFonts w:cs="Arial"/>
                <w:b w:val="0"/>
                <w:sz w:val="20"/>
                <w:szCs w:val="20"/>
                <w:lang w:val="es-ES"/>
              </w:rPr>
            </w:pPr>
          </w:p>
          <w:p w14:paraId="6C517574" w14:textId="0D380ADF" w:rsidR="00AF79CE" w:rsidRPr="00AF79CE" w:rsidRDefault="00AF79CE" w:rsidP="00AF79CE">
            <w:pPr>
              <w:jc w:val="both"/>
              <w:rPr>
                <w:rFonts w:cs="Arial"/>
                <w:b w:val="0"/>
                <w:sz w:val="20"/>
                <w:szCs w:val="20"/>
                <w:u w:val="single"/>
                <w:lang w:val="es-ES"/>
              </w:rPr>
            </w:pPr>
            <w:r w:rsidRPr="00AF79CE">
              <w:rPr>
                <w:rFonts w:cs="Arial"/>
                <w:b w:val="0"/>
                <w:sz w:val="20"/>
                <w:szCs w:val="20"/>
                <w:u w:val="single"/>
                <w:lang w:val="es-ES"/>
              </w:rPr>
              <w:t xml:space="preserve">Bosque Altoandino </w:t>
            </w:r>
            <w:proofErr w:type="spellStart"/>
            <w:r w:rsidR="007A3E33" w:rsidRPr="00AF79CE">
              <w:rPr>
                <w:rFonts w:cs="Arial"/>
                <w:b w:val="0"/>
                <w:sz w:val="20"/>
                <w:szCs w:val="20"/>
                <w:u w:val="single"/>
                <w:lang w:val="es-ES"/>
              </w:rPr>
              <w:t>Relictual</w:t>
            </w:r>
            <w:proofErr w:type="spellEnd"/>
          </w:p>
          <w:p w14:paraId="0C13C6F3" w14:textId="77777777" w:rsidR="00AF79CE" w:rsidRPr="00AF79CE" w:rsidRDefault="00AF79CE" w:rsidP="00AF79CE">
            <w:pPr>
              <w:jc w:val="both"/>
              <w:rPr>
                <w:rFonts w:cs="Arial"/>
                <w:b w:val="0"/>
                <w:sz w:val="20"/>
                <w:szCs w:val="20"/>
                <w:lang w:val="es-ES"/>
              </w:rPr>
            </w:pPr>
          </w:p>
          <w:p w14:paraId="6DC409A7" w14:textId="77777777" w:rsidR="00AF79CE" w:rsidRPr="00AF79CE" w:rsidRDefault="00AF79CE" w:rsidP="00AF79CE">
            <w:pPr>
              <w:jc w:val="both"/>
              <w:rPr>
                <w:rFonts w:cs="Arial"/>
                <w:b w:val="0"/>
                <w:sz w:val="20"/>
                <w:szCs w:val="20"/>
                <w:lang w:val="es-ES"/>
              </w:rPr>
            </w:pPr>
            <w:r w:rsidRPr="00AF79CE">
              <w:rPr>
                <w:rFonts w:cs="Arial"/>
                <w:b w:val="0"/>
                <w:sz w:val="20"/>
                <w:szCs w:val="20"/>
                <w:lang w:val="es-ES"/>
              </w:rPr>
              <w:t>Los bosques altoandinos son sistemas naturales de selvas húmedas caracterizadas por una gran riqueza florística, en las cuales las actividades agrícolas y pecuarias como medio de subsistencia ejercen una fuerte presión. El bosque altoandino (B-</w:t>
            </w:r>
            <w:proofErr w:type="spellStart"/>
            <w:r w:rsidRPr="00AF79CE">
              <w:rPr>
                <w:rFonts w:cs="Arial"/>
                <w:b w:val="0"/>
                <w:sz w:val="20"/>
                <w:szCs w:val="20"/>
                <w:lang w:val="es-ES"/>
              </w:rPr>
              <w:t>Aa</w:t>
            </w:r>
            <w:proofErr w:type="spellEnd"/>
            <w:r w:rsidRPr="00AF79CE">
              <w:rPr>
                <w:rFonts w:cs="Arial"/>
                <w:b w:val="0"/>
                <w:sz w:val="20"/>
                <w:szCs w:val="20"/>
                <w:lang w:val="es-ES"/>
              </w:rPr>
              <w:t>) corresponde también al “clima frío húmedo”, se presenta desde los 2.500 hasta los 3.000 msnm, presenta una temperatura media de entre 12 y 10 °C y una precipitación media de 1500 a 2000 mm que generalmente disminuye con la altitud. La fisionomía del bosque en esta zona es similar a la del bosque andino, con la diferencia que el estrato superior es prácticamente inexistente. El ambiente es muy húmedo y en general, se considera el bosque altoandino significativo e importante desde el punto de vista de zona de reserva hídrica, por la cantidad de agua sobrante para infiltración y recarga de acuíferos. (CDMB 2014).</w:t>
            </w:r>
          </w:p>
          <w:p w14:paraId="14B34069" w14:textId="77777777" w:rsidR="00AF79CE" w:rsidRPr="00AF79CE" w:rsidRDefault="00AF79CE" w:rsidP="00AF79CE">
            <w:pPr>
              <w:jc w:val="both"/>
              <w:rPr>
                <w:rFonts w:cs="Arial"/>
                <w:b w:val="0"/>
                <w:sz w:val="20"/>
                <w:szCs w:val="20"/>
                <w:lang w:val="es-ES"/>
              </w:rPr>
            </w:pPr>
          </w:p>
          <w:p w14:paraId="3BBAAF9F" w14:textId="77777777" w:rsidR="00AF79CE" w:rsidRPr="00AF79CE" w:rsidRDefault="00AF79CE" w:rsidP="00AF79CE">
            <w:pPr>
              <w:jc w:val="both"/>
              <w:rPr>
                <w:rFonts w:cs="Arial"/>
                <w:b w:val="0"/>
                <w:sz w:val="20"/>
                <w:szCs w:val="20"/>
                <w:lang w:val="es-ES"/>
              </w:rPr>
            </w:pPr>
            <w:r w:rsidRPr="00AF79CE">
              <w:rPr>
                <w:rFonts w:cs="Arial"/>
                <w:b w:val="0"/>
                <w:sz w:val="20"/>
                <w:szCs w:val="20"/>
                <w:lang w:val="es-ES"/>
              </w:rPr>
              <w:t xml:space="preserve">En el contexto de este estudio, los robles abundan entre otras coberturas en el arbustal denso (Bosque Altoandino). En esta cobertura se encontraron especies como Quercus </w:t>
            </w:r>
            <w:proofErr w:type="spellStart"/>
            <w:r w:rsidRPr="00AF79CE">
              <w:rPr>
                <w:rFonts w:cs="Arial"/>
                <w:b w:val="0"/>
                <w:sz w:val="20"/>
                <w:szCs w:val="20"/>
                <w:lang w:val="es-ES"/>
              </w:rPr>
              <w:t>humboldtii</w:t>
            </w:r>
            <w:proofErr w:type="spellEnd"/>
            <w:r w:rsidRPr="00AF79CE">
              <w:rPr>
                <w:rFonts w:cs="Arial"/>
                <w:b w:val="0"/>
                <w:sz w:val="20"/>
                <w:szCs w:val="20"/>
                <w:lang w:val="es-ES"/>
              </w:rPr>
              <w:t xml:space="preserve"> (roble) y </w:t>
            </w:r>
            <w:proofErr w:type="spellStart"/>
            <w:r w:rsidRPr="00AF79CE">
              <w:rPr>
                <w:rFonts w:cs="Arial"/>
                <w:b w:val="0"/>
                <w:sz w:val="20"/>
                <w:szCs w:val="20"/>
                <w:lang w:val="es-ES"/>
              </w:rPr>
              <w:t>Retrophyllum</w:t>
            </w:r>
            <w:proofErr w:type="spellEnd"/>
            <w:r w:rsidRPr="00AF79CE">
              <w:rPr>
                <w:rFonts w:cs="Arial"/>
                <w:b w:val="0"/>
                <w:sz w:val="20"/>
                <w:szCs w:val="20"/>
                <w:lang w:val="es-ES"/>
              </w:rPr>
              <w:t xml:space="preserve"> </w:t>
            </w:r>
            <w:proofErr w:type="spellStart"/>
            <w:r w:rsidRPr="00AF79CE">
              <w:rPr>
                <w:rFonts w:cs="Arial"/>
                <w:b w:val="0"/>
                <w:sz w:val="20"/>
                <w:szCs w:val="20"/>
                <w:lang w:val="es-ES"/>
              </w:rPr>
              <w:t>rospigliosii</w:t>
            </w:r>
            <w:proofErr w:type="spellEnd"/>
            <w:r w:rsidRPr="00AF79CE">
              <w:rPr>
                <w:rFonts w:cs="Arial"/>
                <w:b w:val="0"/>
                <w:sz w:val="20"/>
                <w:szCs w:val="20"/>
                <w:lang w:val="es-ES"/>
              </w:rPr>
              <w:t xml:space="preserve"> (pino colombiano) que son especies en veda. Por otro lado, existe alta diversidad para la familia </w:t>
            </w:r>
            <w:proofErr w:type="spellStart"/>
            <w:r w:rsidRPr="00AF79CE">
              <w:rPr>
                <w:rFonts w:cs="Arial"/>
                <w:b w:val="0"/>
                <w:sz w:val="20"/>
                <w:szCs w:val="20"/>
                <w:lang w:val="es-ES"/>
              </w:rPr>
              <w:t>Orchidaceae</w:t>
            </w:r>
            <w:proofErr w:type="spellEnd"/>
            <w:r w:rsidRPr="00AF79CE">
              <w:rPr>
                <w:rFonts w:cs="Arial"/>
                <w:b w:val="0"/>
                <w:sz w:val="20"/>
                <w:szCs w:val="20"/>
                <w:lang w:val="es-ES"/>
              </w:rPr>
              <w:t>, con seis especies en seis géneros: (</w:t>
            </w:r>
            <w:proofErr w:type="spellStart"/>
            <w:r w:rsidRPr="00AF79CE">
              <w:rPr>
                <w:rFonts w:cs="Arial"/>
                <w:b w:val="0"/>
                <w:sz w:val="20"/>
                <w:szCs w:val="20"/>
                <w:lang w:val="es-ES"/>
              </w:rPr>
              <w:t>Scaphosepalum</w:t>
            </w:r>
            <w:proofErr w:type="spellEnd"/>
            <w:r w:rsidRPr="00AF79CE">
              <w:rPr>
                <w:rFonts w:cs="Arial"/>
                <w:b w:val="0"/>
                <w:sz w:val="20"/>
                <w:szCs w:val="20"/>
                <w:lang w:val="es-ES"/>
              </w:rPr>
              <w:t xml:space="preserve"> </w:t>
            </w:r>
            <w:proofErr w:type="spellStart"/>
            <w:r w:rsidRPr="00AF79CE">
              <w:rPr>
                <w:rFonts w:cs="Arial"/>
                <w:b w:val="0"/>
                <w:sz w:val="20"/>
                <w:szCs w:val="20"/>
                <w:lang w:val="es-ES"/>
              </w:rPr>
              <w:t>verrucosum</w:t>
            </w:r>
            <w:proofErr w:type="spellEnd"/>
            <w:r w:rsidRPr="00AF79CE">
              <w:rPr>
                <w:rFonts w:cs="Arial"/>
                <w:b w:val="0"/>
                <w:sz w:val="20"/>
                <w:szCs w:val="20"/>
                <w:lang w:val="es-ES"/>
              </w:rPr>
              <w:t>; (</w:t>
            </w:r>
            <w:proofErr w:type="spellStart"/>
            <w:r w:rsidRPr="00AF79CE">
              <w:rPr>
                <w:rFonts w:cs="Arial"/>
                <w:b w:val="0"/>
                <w:sz w:val="20"/>
                <w:szCs w:val="20"/>
                <w:lang w:val="es-ES"/>
              </w:rPr>
              <w:t>Cyrtochilum</w:t>
            </w:r>
            <w:proofErr w:type="spellEnd"/>
            <w:r w:rsidRPr="00AF79CE">
              <w:rPr>
                <w:rFonts w:cs="Arial"/>
                <w:b w:val="0"/>
                <w:sz w:val="20"/>
                <w:szCs w:val="20"/>
                <w:lang w:val="es-ES"/>
              </w:rPr>
              <w:t xml:space="preserve"> </w:t>
            </w:r>
            <w:proofErr w:type="spellStart"/>
            <w:r w:rsidRPr="00AF79CE">
              <w:rPr>
                <w:rFonts w:cs="Arial"/>
                <w:b w:val="0"/>
                <w:sz w:val="20"/>
                <w:szCs w:val="20"/>
                <w:lang w:val="es-ES"/>
              </w:rPr>
              <w:t>sp</w:t>
            </w:r>
            <w:proofErr w:type="spellEnd"/>
            <w:r w:rsidRPr="00AF79CE">
              <w:rPr>
                <w:rFonts w:cs="Arial"/>
                <w:b w:val="0"/>
                <w:sz w:val="20"/>
                <w:szCs w:val="20"/>
                <w:lang w:val="es-ES"/>
              </w:rPr>
              <w:t>); (</w:t>
            </w:r>
            <w:proofErr w:type="spellStart"/>
            <w:r w:rsidRPr="00AF79CE">
              <w:rPr>
                <w:rFonts w:cs="Arial"/>
                <w:b w:val="0"/>
                <w:sz w:val="20"/>
                <w:szCs w:val="20"/>
                <w:lang w:val="es-ES"/>
              </w:rPr>
              <w:t>Masdevallia</w:t>
            </w:r>
            <w:proofErr w:type="spellEnd"/>
            <w:r w:rsidRPr="00AF79CE">
              <w:rPr>
                <w:rFonts w:cs="Arial"/>
                <w:b w:val="0"/>
                <w:sz w:val="20"/>
                <w:szCs w:val="20"/>
                <w:lang w:val="es-ES"/>
              </w:rPr>
              <w:t xml:space="preserve"> </w:t>
            </w:r>
            <w:proofErr w:type="spellStart"/>
            <w:r w:rsidRPr="00AF79CE">
              <w:rPr>
                <w:rFonts w:cs="Arial"/>
                <w:b w:val="0"/>
                <w:sz w:val="20"/>
                <w:szCs w:val="20"/>
                <w:lang w:val="es-ES"/>
              </w:rPr>
              <w:t>sp</w:t>
            </w:r>
            <w:proofErr w:type="spellEnd"/>
            <w:r w:rsidRPr="00AF79CE">
              <w:rPr>
                <w:rFonts w:cs="Arial"/>
                <w:b w:val="0"/>
                <w:sz w:val="20"/>
                <w:szCs w:val="20"/>
                <w:lang w:val="es-ES"/>
              </w:rPr>
              <w:t>); (</w:t>
            </w:r>
            <w:proofErr w:type="spellStart"/>
            <w:r w:rsidRPr="00AF79CE">
              <w:rPr>
                <w:rFonts w:cs="Arial"/>
                <w:b w:val="0"/>
                <w:sz w:val="20"/>
                <w:szCs w:val="20"/>
                <w:lang w:val="es-ES"/>
              </w:rPr>
              <w:t>Prosthechea</w:t>
            </w:r>
            <w:proofErr w:type="spellEnd"/>
            <w:r w:rsidRPr="00AF79CE">
              <w:rPr>
                <w:rFonts w:cs="Arial"/>
                <w:b w:val="0"/>
                <w:sz w:val="20"/>
                <w:szCs w:val="20"/>
                <w:lang w:val="es-ES"/>
              </w:rPr>
              <w:t xml:space="preserve"> </w:t>
            </w:r>
            <w:proofErr w:type="spellStart"/>
            <w:r w:rsidRPr="00AF79CE">
              <w:rPr>
                <w:rFonts w:cs="Arial"/>
                <w:b w:val="0"/>
                <w:sz w:val="20"/>
                <w:szCs w:val="20"/>
                <w:lang w:val="es-ES"/>
              </w:rPr>
              <w:t>sp</w:t>
            </w:r>
            <w:proofErr w:type="spellEnd"/>
            <w:r w:rsidRPr="00AF79CE">
              <w:rPr>
                <w:rFonts w:cs="Arial"/>
                <w:b w:val="0"/>
                <w:sz w:val="20"/>
                <w:szCs w:val="20"/>
                <w:lang w:val="es-ES"/>
              </w:rPr>
              <w:t>); (</w:t>
            </w:r>
            <w:proofErr w:type="spellStart"/>
            <w:r w:rsidRPr="00AF79CE">
              <w:rPr>
                <w:rFonts w:cs="Arial"/>
                <w:b w:val="0"/>
                <w:sz w:val="20"/>
                <w:szCs w:val="20"/>
                <w:lang w:val="es-ES"/>
              </w:rPr>
              <w:t>Maxillaria</w:t>
            </w:r>
            <w:proofErr w:type="spellEnd"/>
            <w:r w:rsidRPr="00AF79CE">
              <w:rPr>
                <w:rFonts w:cs="Arial"/>
                <w:b w:val="0"/>
                <w:sz w:val="20"/>
                <w:szCs w:val="20"/>
                <w:lang w:val="es-ES"/>
              </w:rPr>
              <w:t xml:space="preserve"> </w:t>
            </w:r>
            <w:proofErr w:type="spellStart"/>
            <w:r w:rsidRPr="00AF79CE">
              <w:rPr>
                <w:rFonts w:cs="Arial"/>
                <w:b w:val="0"/>
                <w:sz w:val="20"/>
                <w:szCs w:val="20"/>
                <w:lang w:val="es-ES"/>
              </w:rPr>
              <w:t>sp</w:t>
            </w:r>
            <w:proofErr w:type="spellEnd"/>
            <w:r w:rsidRPr="00AF79CE">
              <w:rPr>
                <w:rFonts w:cs="Arial"/>
                <w:b w:val="0"/>
                <w:sz w:val="20"/>
                <w:szCs w:val="20"/>
                <w:lang w:val="es-ES"/>
              </w:rPr>
              <w:t>) y (</w:t>
            </w:r>
            <w:proofErr w:type="spellStart"/>
            <w:r w:rsidRPr="00AF79CE">
              <w:rPr>
                <w:rFonts w:cs="Arial"/>
                <w:b w:val="0"/>
                <w:sz w:val="20"/>
                <w:szCs w:val="20"/>
                <w:lang w:val="es-ES"/>
              </w:rPr>
              <w:t>Epidendrum</w:t>
            </w:r>
            <w:proofErr w:type="spellEnd"/>
            <w:r w:rsidRPr="00AF79CE">
              <w:rPr>
                <w:rFonts w:cs="Arial"/>
                <w:b w:val="0"/>
                <w:sz w:val="20"/>
                <w:szCs w:val="20"/>
                <w:lang w:val="es-ES"/>
              </w:rPr>
              <w:t xml:space="preserve"> </w:t>
            </w:r>
            <w:proofErr w:type="spellStart"/>
            <w:r w:rsidRPr="00AF79CE">
              <w:rPr>
                <w:rFonts w:cs="Arial"/>
                <w:b w:val="0"/>
                <w:sz w:val="20"/>
                <w:szCs w:val="20"/>
                <w:lang w:val="es-ES"/>
              </w:rPr>
              <w:t>sp</w:t>
            </w:r>
            <w:proofErr w:type="spellEnd"/>
            <w:r w:rsidRPr="00AF79CE">
              <w:rPr>
                <w:rFonts w:cs="Arial"/>
                <w:b w:val="0"/>
                <w:sz w:val="20"/>
                <w:szCs w:val="20"/>
                <w:lang w:val="es-ES"/>
              </w:rPr>
              <w:t xml:space="preserve">), mientras que la diversidad de la familia </w:t>
            </w:r>
            <w:proofErr w:type="spellStart"/>
            <w:r w:rsidRPr="00AF79CE">
              <w:rPr>
                <w:rFonts w:cs="Arial"/>
                <w:b w:val="0"/>
                <w:sz w:val="20"/>
                <w:szCs w:val="20"/>
                <w:lang w:val="es-ES"/>
              </w:rPr>
              <w:t>Myrtaceae</w:t>
            </w:r>
            <w:proofErr w:type="spellEnd"/>
            <w:r w:rsidRPr="00AF79CE">
              <w:rPr>
                <w:rFonts w:cs="Arial"/>
                <w:b w:val="0"/>
                <w:sz w:val="20"/>
                <w:szCs w:val="20"/>
                <w:lang w:val="es-ES"/>
              </w:rPr>
              <w:t xml:space="preserve"> se registró en tres géneros (</w:t>
            </w:r>
            <w:proofErr w:type="spellStart"/>
            <w:r w:rsidRPr="00AF79CE">
              <w:rPr>
                <w:rFonts w:cs="Arial"/>
                <w:b w:val="0"/>
                <w:sz w:val="20"/>
                <w:szCs w:val="20"/>
                <w:lang w:val="es-ES"/>
              </w:rPr>
              <w:t>Myrcianthes</w:t>
            </w:r>
            <w:proofErr w:type="spellEnd"/>
            <w:r w:rsidRPr="00AF79CE">
              <w:rPr>
                <w:rFonts w:cs="Arial"/>
                <w:b w:val="0"/>
                <w:sz w:val="20"/>
                <w:szCs w:val="20"/>
                <w:lang w:val="es-ES"/>
              </w:rPr>
              <w:t xml:space="preserve"> </w:t>
            </w:r>
            <w:proofErr w:type="spellStart"/>
            <w:r w:rsidRPr="00AF79CE">
              <w:rPr>
                <w:rFonts w:cs="Arial"/>
                <w:b w:val="0"/>
                <w:sz w:val="20"/>
                <w:szCs w:val="20"/>
                <w:lang w:val="es-ES"/>
              </w:rPr>
              <w:t>sp</w:t>
            </w:r>
            <w:proofErr w:type="spellEnd"/>
            <w:r w:rsidRPr="00AF79CE">
              <w:rPr>
                <w:rFonts w:cs="Arial"/>
                <w:b w:val="0"/>
                <w:sz w:val="20"/>
                <w:szCs w:val="20"/>
                <w:lang w:val="es-ES"/>
              </w:rPr>
              <w:t xml:space="preserve">; Eugenia </w:t>
            </w:r>
            <w:proofErr w:type="spellStart"/>
            <w:r w:rsidRPr="00AF79CE">
              <w:rPr>
                <w:rFonts w:cs="Arial"/>
                <w:b w:val="0"/>
                <w:sz w:val="20"/>
                <w:szCs w:val="20"/>
                <w:lang w:val="es-ES"/>
              </w:rPr>
              <w:t>sp</w:t>
            </w:r>
            <w:proofErr w:type="spellEnd"/>
            <w:r w:rsidRPr="00AF79CE">
              <w:rPr>
                <w:rFonts w:cs="Arial"/>
                <w:b w:val="0"/>
                <w:sz w:val="20"/>
                <w:szCs w:val="20"/>
                <w:lang w:val="es-ES"/>
              </w:rPr>
              <w:t xml:space="preserve"> y </w:t>
            </w:r>
            <w:proofErr w:type="spellStart"/>
            <w:r w:rsidRPr="00AF79CE">
              <w:rPr>
                <w:rFonts w:cs="Arial"/>
                <w:b w:val="0"/>
                <w:sz w:val="20"/>
                <w:szCs w:val="20"/>
                <w:lang w:val="es-ES"/>
              </w:rPr>
              <w:t>Calycolpus</w:t>
            </w:r>
            <w:proofErr w:type="spellEnd"/>
            <w:r w:rsidRPr="00AF79CE">
              <w:rPr>
                <w:rFonts w:cs="Arial"/>
                <w:b w:val="0"/>
                <w:sz w:val="20"/>
                <w:szCs w:val="20"/>
                <w:lang w:val="es-ES"/>
              </w:rPr>
              <w:t xml:space="preserve"> </w:t>
            </w:r>
            <w:proofErr w:type="spellStart"/>
            <w:r w:rsidRPr="00AF79CE">
              <w:rPr>
                <w:rFonts w:cs="Arial"/>
                <w:b w:val="0"/>
                <w:sz w:val="20"/>
                <w:szCs w:val="20"/>
                <w:lang w:val="es-ES"/>
              </w:rPr>
              <w:t>sp</w:t>
            </w:r>
            <w:proofErr w:type="spellEnd"/>
            <w:r w:rsidRPr="00AF79CE">
              <w:rPr>
                <w:rFonts w:cs="Arial"/>
                <w:b w:val="0"/>
                <w:sz w:val="20"/>
                <w:szCs w:val="20"/>
                <w:lang w:val="es-ES"/>
              </w:rPr>
              <w:t xml:space="preserve">). Del mismo modo y como es habitual en bosque andinos se registraron especies de la familia </w:t>
            </w:r>
            <w:proofErr w:type="spellStart"/>
            <w:r w:rsidRPr="00AF79CE">
              <w:rPr>
                <w:rFonts w:cs="Arial"/>
                <w:b w:val="0"/>
                <w:sz w:val="20"/>
                <w:szCs w:val="20"/>
                <w:lang w:val="es-ES"/>
              </w:rPr>
              <w:t>Melastomataceae</w:t>
            </w:r>
            <w:proofErr w:type="spellEnd"/>
            <w:r w:rsidRPr="00AF79CE">
              <w:rPr>
                <w:rFonts w:cs="Arial"/>
                <w:b w:val="0"/>
                <w:sz w:val="20"/>
                <w:szCs w:val="20"/>
                <w:lang w:val="es-ES"/>
              </w:rPr>
              <w:t xml:space="preserve"> (</w:t>
            </w:r>
            <w:proofErr w:type="spellStart"/>
            <w:r w:rsidRPr="00AF79CE">
              <w:rPr>
                <w:rFonts w:cs="Arial"/>
                <w:b w:val="0"/>
                <w:sz w:val="20"/>
                <w:szCs w:val="20"/>
                <w:lang w:val="es-ES"/>
              </w:rPr>
              <w:t>Miconia</w:t>
            </w:r>
            <w:proofErr w:type="spellEnd"/>
            <w:r w:rsidRPr="00AF79CE">
              <w:rPr>
                <w:rFonts w:cs="Arial"/>
                <w:b w:val="0"/>
                <w:sz w:val="20"/>
                <w:szCs w:val="20"/>
                <w:lang w:val="es-ES"/>
              </w:rPr>
              <w:t xml:space="preserve">(s) </w:t>
            </w:r>
            <w:proofErr w:type="spellStart"/>
            <w:r w:rsidRPr="00AF79CE">
              <w:rPr>
                <w:rFonts w:cs="Arial"/>
                <w:b w:val="0"/>
                <w:sz w:val="20"/>
                <w:szCs w:val="20"/>
                <w:lang w:val="es-ES"/>
              </w:rPr>
              <w:t>sp</w:t>
            </w:r>
            <w:proofErr w:type="spellEnd"/>
            <w:r w:rsidRPr="00AF79CE">
              <w:rPr>
                <w:rFonts w:cs="Arial"/>
                <w:b w:val="0"/>
                <w:sz w:val="20"/>
                <w:szCs w:val="20"/>
                <w:lang w:val="es-ES"/>
              </w:rPr>
              <w:t xml:space="preserve">), </w:t>
            </w:r>
            <w:proofErr w:type="spellStart"/>
            <w:r w:rsidRPr="00AF79CE">
              <w:rPr>
                <w:rFonts w:cs="Arial"/>
                <w:b w:val="0"/>
                <w:sz w:val="20"/>
                <w:szCs w:val="20"/>
                <w:lang w:val="es-ES"/>
              </w:rPr>
              <w:t>Ericaceae</w:t>
            </w:r>
            <w:proofErr w:type="spellEnd"/>
            <w:r w:rsidRPr="00AF79CE">
              <w:rPr>
                <w:rFonts w:cs="Arial"/>
                <w:b w:val="0"/>
                <w:sz w:val="20"/>
                <w:szCs w:val="20"/>
                <w:lang w:val="es-ES"/>
              </w:rPr>
              <w:t xml:space="preserve"> (</w:t>
            </w:r>
            <w:proofErr w:type="spellStart"/>
            <w:r w:rsidRPr="00AF79CE">
              <w:rPr>
                <w:rFonts w:cs="Arial"/>
                <w:b w:val="0"/>
                <w:sz w:val="20"/>
                <w:szCs w:val="20"/>
                <w:lang w:val="es-ES"/>
              </w:rPr>
              <w:t>Cavendishia</w:t>
            </w:r>
            <w:proofErr w:type="spellEnd"/>
            <w:r w:rsidRPr="00AF79CE">
              <w:rPr>
                <w:rFonts w:cs="Arial"/>
                <w:b w:val="0"/>
                <w:sz w:val="20"/>
                <w:szCs w:val="20"/>
                <w:lang w:val="es-ES"/>
              </w:rPr>
              <w:t xml:space="preserve"> </w:t>
            </w:r>
            <w:proofErr w:type="spellStart"/>
            <w:r w:rsidRPr="00AF79CE">
              <w:rPr>
                <w:rFonts w:cs="Arial"/>
                <w:b w:val="0"/>
                <w:sz w:val="20"/>
                <w:szCs w:val="20"/>
                <w:lang w:val="es-ES"/>
              </w:rPr>
              <w:t>bracteata</w:t>
            </w:r>
            <w:proofErr w:type="spellEnd"/>
            <w:r w:rsidRPr="00AF79CE">
              <w:rPr>
                <w:rFonts w:cs="Arial"/>
                <w:b w:val="0"/>
                <w:sz w:val="20"/>
                <w:szCs w:val="20"/>
                <w:lang w:val="es-ES"/>
              </w:rPr>
              <w:t xml:space="preserve">) y de la familia </w:t>
            </w:r>
            <w:proofErr w:type="spellStart"/>
            <w:r w:rsidRPr="00AF79CE">
              <w:rPr>
                <w:rFonts w:cs="Arial"/>
                <w:b w:val="0"/>
                <w:sz w:val="20"/>
                <w:szCs w:val="20"/>
                <w:lang w:val="es-ES"/>
              </w:rPr>
              <w:t>Araliaceae</w:t>
            </w:r>
            <w:proofErr w:type="spellEnd"/>
            <w:r w:rsidRPr="00AF79CE">
              <w:rPr>
                <w:rFonts w:cs="Arial"/>
                <w:b w:val="0"/>
                <w:sz w:val="20"/>
                <w:szCs w:val="20"/>
                <w:lang w:val="es-ES"/>
              </w:rPr>
              <w:t xml:space="preserve"> como el mano de oso (</w:t>
            </w:r>
            <w:proofErr w:type="spellStart"/>
            <w:r w:rsidRPr="00AF79CE">
              <w:rPr>
                <w:rFonts w:cs="Arial"/>
                <w:b w:val="0"/>
                <w:sz w:val="20"/>
                <w:szCs w:val="20"/>
                <w:lang w:val="es-ES"/>
              </w:rPr>
              <w:t>Oreopanax</w:t>
            </w:r>
            <w:proofErr w:type="spellEnd"/>
            <w:r w:rsidRPr="00AF79CE">
              <w:rPr>
                <w:rFonts w:cs="Arial"/>
                <w:b w:val="0"/>
                <w:sz w:val="20"/>
                <w:szCs w:val="20"/>
                <w:lang w:val="es-ES"/>
              </w:rPr>
              <w:t xml:space="preserve"> </w:t>
            </w:r>
            <w:proofErr w:type="spellStart"/>
            <w:r w:rsidRPr="00AF79CE">
              <w:rPr>
                <w:rFonts w:cs="Arial"/>
                <w:b w:val="0"/>
                <w:sz w:val="20"/>
                <w:szCs w:val="20"/>
                <w:lang w:val="es-ES"/>
              </w:rPr>
              <w:t>sp</w:t>
            </w:r>
            <w:proofErr w:type="spellEnd"/>
            <w:r w:rsidRPr="00AF79CE">
              <w:rPr>
                <w:rFonts w:cs="Arial"/>
                <w:b w:val="0"/>
                <w:sz w:val="20"/>
                <w:szCs w:val="20"/>
                <w:lang w:val="es-ES"/>
              </w:rPr>
              <w:t xml:space="preserve"> y </w:t>
            </w:r>
            <w:proofErr w:type="spellStart"/>
            <w:r w:rsidRPr="00AF79CE">
              <w:rPr>
                <w:rFonts w:cs="Arial"/>
                <w:b w:val="0"/>
                <w:sz w:val="20"/>
                <w:szCs w:val="20"/>
                <w:lang w:val="es-ES"/>
              </w:rPr>
              <w:t>Dendropanax</w:t>
            </w:r>
            <w:proofErr w:type="spellEnd"/>
            <w:r w:rsidRPr="00AF79CE">
              <w:rPr>
                <w:rFonts w:cs="Arial"/>
                <w:b w:val="0"/>
                <w:sz w:val="20"/>
                <w:szCs w:val="20"/>
                <w:lang w:val="es-ES"/>
              </w:rPr>
              <w:t xml:space="preserve"> </w:t>
            </w:r>
            <w:proofErr w:type="spellStart"/>
            <w:r w:rsidRPr="00AF79CE">
              <w:rPr>
                <w:rFonts w:cs="Arial"/>
                <w:b w:val="0"/>
                <w:sz w:val="20"/>
                <w:szCs w:val="20"/>
                <w:lang w:val="es-ES"/>
              </w:rPr>
              <w:t>sp</w:t>
            </w:r>
            <w:proofErr w:type="spellEnd"/>
            <w:r w:rsidRPr="00AF79CE">
              <w:rPr>
                <w:rFonts w:cs="Arial"/>
                <w:b w:val="0"/>
                <w:sz w:val="20"/>
                <w:szCs w:val="20"/>
                <w:lang w:val="es-ES"/>
              </w:rPr>
              <w:t>).</w:t>
            </w:r>
          </w:p>
          <w:p w14:paraId="03F03870" w14:textId="77777777" w:rsidR="00AF79CE" w:rsidRPr="00AF79CE" w:rsidRDefault="00AF79CE" w:rsidP="00AF79CE">
            <w:pPr>
              <w:jc w:val="both"/>
              <w:rPr>
                <w:rFonts w:cs="Arial"/>
                <w:b w:val="0"/>
                <w:sz w:val="20"/>
                <w:szCs w:val="20"/>
                <w:lang w:val="es-ES"/>
              </w:rPr>
            </w:pPr>
          </w:p>
          <w:p w14:paraId="31B1D3B7" w14:textId="77777777" w:rsidR="00AF79CE" w:rsidRPr="00AF79CE" w:rsidRDefault="00AF79CE" w:rsidP="00AF79CE">
            <w:pPr>
              <w:jc w:val="both"/>
              <w:rPr>
                <w:rFonts w:cs="Arial"/>
                <w:b w:val="0"/>
                <w:sz w:val="20"/>
                <w:szCs w:val="20"/>
                <w:lang w:val="es-ES"/>
              </w:rPr>
            </w:pPr>
            <w:r w:rsidRPr="00AF79CE">
              <w:rPr>
                <w:rFonts w:cs="Arial"/>
                <w:b w:val="0"/>
                <w:sz w:val="20"/>
                <w:szCs w:val="20"/>
                <w:lang w:val="es-ES"/>
              </w:rPr>
              <w:t>En las partes bajas de esta cobertura en áreas con cultivos, pastos y espacios naturales fue común registrar el arrayan (</w:t>
            </w:r>
            <w:proofErr w:type="spellStart"/>
            <w:r w:rsidRPr="00AF79CE">
              <w:rPr>
                <w:rFonts w:cs="Arial"/>
                <w:b w:val="0"/>
                <w:sz w:val="20"/>
                <w:szCs w:val="20"/>
                <w:lang w:val="es-ES"/>
              </w:rPr>
              <w:t>Calycolpus</w:t>
            </w:r>
            <w:proofErr w:type="spellEnd"/>
            <w:r w:rsidRPr="00AF79CE">
              <w:rPr>
                <w:rFonts w:cs="Arial"/>
                <w:b w:val="0"/>
                <w:sz w:val="20"/>
                <w:szCs w:val="20"/>
                <w:lang w:val="es-ES"/>
              </w:rPr>
              <w:t xml:space="preserve"> </w:t>
            </w:r>
            <w:proofErr w:type="spellStart"/>
            <w:r w:rsidRPr="00AF79CE">
              <w:rPr>
                <w:rFonts w:cs="Arial"/>
                <w:b w:val="0"/>
                <w:sz w:val="20"/>
                <w:szCs w:val="20"/>
                <w:lang w:val="es-ES"/>
              </w:rPr>
              <w:t>moritzianus</w:t>
            </w:r>
            <w:proofErr w:type="spellEnd"/>
            <w:r w:rsidRPr="00AF79CE">
              <w:rPr>
                <w:rFonts w:cs="Arial"/>
                <w:b w:val="0"/>
                <w:sz w:val="20"/>
                <w:szCs w:val="20"/>
                <w:lang w:val="es-ES"/>
              </w:rPr>
              <w:t xml:space="preserve">), nuevamente el roble (Quercus </w:t>
            </w:r>
            <w:proofErr w:type="spellStart"/>
            <w:r w:rsidRPr="00AF79CE">
              <w:rPr>
                <w:rFonts w:cs="Arial"/>
                <w:b w:val="0"/>
                <w:sz w:val="20"/>
                <w:szCs w:val="20"/>
                <w:lang w:val="es-ES"/>
              </w:rPr>
              <w:t>humboldtii</w:t>
            </w:r>
            <w:proofErr w:type="spellEnd"/>
            <w:r w:rsidRPr="00AF79CE">
              <w:rPr>
                <w:rFonts w:cs="Arial"/>
                <w:b w:val="0"/>
                <w:sz w:val="20"/>
                <w:szCs w:val="20"/>
                <w:lang w:val="es-ES"/>
              </w:rPr>
              <w:t>) y el pino colombiano (</w:t>
            </w:r>
            <w:proofErr w:type="spellStart"/>
            <w:r w:rsidRPr="00AF79CE">
              <w:rPr>
                <w:rFonts w:cs="Arial"/>
                <w:b w:val="0"/>
                <w:sz w:val="20"/>
                <w:szCs w:val="20"/>
                <w:lang w:val="es-ES"/>
              </w:rPr>
              <w:t>Retrophyllum</w:t>
            </w:r>
            <w:proofErr w:type="spellEnd"/>
            <w:r w:rsidRPr="00AF79CE">
              <w:rPr>
                <w:rFonts w:cs="Arial"/>
                <w:b w:val="0"/>
                <w:sz w:val="20"/>
                <w:szCs w:val="20"/>
                <w:lang w:val="es-ES"/>
              </w:rPr>
              <w:t xml:space="preserve"> </w:t>
            </w:r>
            <w:proofErr w:type="spellStart"/>
            <w:r w:rsidRPr="00AF79CE">
              <w:rPr>
                <w:rFonts w:cs="Arial"/>
                <w:b w:val="0"/>
                <w:sz w:val="20"/>
                <w:szCs w:val="20"/>
                <w:lang w:val="es-ES"/>
              </w:rPr>
              <w:t>rospigliosii</w:t>
            </w:r>
            <w:proofErr w:type="spellEnd"/>
            <w:r w:rsidRPr="00AF79CE">
              <w:rPr>
                <w:rFonts w:cs="Arial"/>
                <w:b w:val="0"/>
                <w:sz w:val="20"/>
                <w:szCs w:val="20"/>
                <w:lang w:val="es-ES"/>
              </w:rPr>
              <w:t>), mientras que en áreas un poco más bajas de similar cobertura se registraron el cedro negro (</w:t>
            </w:r>
            <w:proofErr w:type="spellStart"/>
            <w:r w:rsidRPr="00AF79CE">
              <w:rPr>
                <w:rFonts w:cs="Arial"/>
                <w:b w:val="0"/>
                <w:sz w:val="20"/>
                <w:szCs w:val="20"/>
                <w:lang w:val="es-ES"/>
              </w:rPr>
              <w:t>Juglans</w:t>
            </w:r>
            <w:proofErr w:type="spellEnd"/>
            <w:r w:rsidRPr="00AF79CE">
              <w:rPr>
                <w:rFonts w:cs="Arial"/>
                <w:b w:val="0"/>
                <w:sz w:val="20"/>
                <w:szCs w:val="20"/>
                <w:lang w:val="es-ES"/>
              </w:rPr>
              <w:t xml:space="preserve"> </w:t>
            </w:r>
            <w:proofErr w:type="spellStart"/>
            <w:r w:rsidRPr="00AF79CE">
              <w:rPr>
                <w:rFonts w:cs="Arial"/>
                <w:b w:val="0"/>
                <w:sz w:val="20"/>
                <w:szCs w:val="20"/>
                <w:lang w:val="es-ES"/>
              </w:rPr>
              <w:t>neotropica</w:t>
            </w:r>
            <w:proofErr w:type="spellEnd"/>
            <w:r w:rsidRPr="00AF79CE">
              <w:rPr>
                <w:rFonts w:cs="Arial"/>
                <w:b w:val="0"/>
                <w:sz w:val="20"/>
                <w:szCs w:val="20"/>
                <w:lang w:val="es-ES"/>
              </w:rPr>
              <w:t>) y el anaco (</w:t>
            </w:r>
            <w:proofErr w:type="spellStart"/>
            <w:r w:rsidRPr="00AF79CE">
              <w:rPr>
                <w:rFonts w:cs="Arial"/>
                <w:b w:val="0"/>
                <w:sz w:val="20"/>
                <w:szCs w:val="20"/>
                <w:lang w:val="es-ES"/>
              </w:rPr>
              <w:t>Erythrina</w:t>
            </w:r>
            <w:proofErr w:type="spellEnd"/>
            <w:r w:rsidRPr="00AF79CE">
              <w:rPr>
                <w:rFonts w:cs="Arial"/>
                <w:b w:val="0"/>
                <w:sz w:val="20"/>
                <w:szCs w:val="20"/>
                <w:lang w:val="es-ES"/>
              </w:rPr>
              <w:t xml:space="preserve"> </w:t>
            </w:r>
            <w:proofErr w:type="spellStart"/>
            <w:r w:rsidRPr="00AF79CE">
              <w:rPr>
                <w:rFonts w:cs="Arial"/>
                <w:b w:val="0"/>
                <w:sz w:val="20"/>
                <w:szCs w:val="20"/>
                <w:lang w:val="es-ES"/>
              </w:rPr>
              <w:t>poeppigiana</w:t>
            </w:r>
            <w:proofErr w:type="spellEnd"/>
            <w:r w:rsidRPr="00AF79CE">
              <w:rPr>
                <w:rFonts w:cs="Arial"/>
                <w:b w:val="0"/>
                <w:sz w:val="20"/>
                <w:szCs w:val="20"/>
                <w:lang w:val="es-ES"/>
              </w:rPr>
              <w:t>). Además, el caracolí (</w:t>
            </w:r>
            <w:proofErr w:type="spellStart"/>
            <w:r w:rsidRPr="00AF79CE">
              <w:rPr>
                <w:rFonts w:cs="Arial"/>
                <w:b w:val="0"/>
                <w:sz w:val="20"/>
                <w:szCs w:val="20"/>
                <w:lang w:val="es-ES"/>
              </w:rPr>
              <w:t>Anacardium</w:t>
            </w:r>
            <w:proofErr w:type="spellEnd"/>
            <w:r w:rsidRPr="00AF79CE">
              <w:rPr>
                <w:rFonts w:cs="Arial"/>
                <w:b w:val="0"/>
                <w:sz w:val="20"/>
                <w:szCs w:val="20"/>
                <w:lang w:val="es-ES"/>
              </w:rPr>
              <w:t xml:space="preserve"> </w:t>
            </w:r>
            <w:proofErr w:type="spellStart"/>
            <w:r w:rsidRPr="00AF79CE">
              <w:rPr>
                <w:rFonts w:cs="Arial"/>
                <w:b w:val="0"/>
                <w:sz w:val="20"/>
                <w:szCs w:val="20"/>
                <w:lang w:val="es-ES"/>
              </w:rPr>
              <w:t>excelsum</w:t>
            </w:r>
            <w:proofErr w:type="spellEnd"/>
            <w:r w:rsidRPr="00AF79CE">
              <w:rPr>
                <w:rFonts w:cs="Arial"/>
                <w:b w:val="0"/>
                <w:sz w:val="20"/>
                <w:szCs w:val="20"/>
                <w:lang w:val="es-ES"/>
              </w:rPr>
              <w:t xml:space="preserve">) y dos especies introducidas: el </w:t>
            </w:r>
            <w:proofErr w:type="spellStart"/>
            <w:r w:rsidRPr="00AF79CE">
              <w:rPr>
                <w:rFonts w:cs="Arial"/>
                <w:b w:val="0"/>
                <w:sz w:val="20"/>
                <w:szCs w:val="20"/>
                <w:lang w:val="es-ES"/>
              </w:rPr>
              <w:t>urapan</w:t>
            </w:r>
            <w:proofErr w:type="spellEnd"/>
            <w:r w:rsidRPr="00AF79CE">
              <w:rPr>
                <w:rFonts w:cs="Arial"/>
                <w:b w:val="0"/>
                <w:sz w:val="20"/>
                <w:szCs w:val="20"/>
                <w:lang w:val="es-ES"/>
              </w:rPr>
              <w:t xml:space="preserve"> (</w:t>
            </w:r>
            <w:proofErr w:type="spellStart"/>
            <w:r w:rsidRPr="00AF79CE">
              <w:rPr>
                <w:rFonts w:cs="Arial"/>
                <w:b w:val="0"/>
                <w:sz w:val="20"/>
                <w:szCs w:val="20"/>
                <w:lang w:val="es-ES"/>
              </w:rPr>
              <w:t>Fraxinus</w:t>
            </w:r>
            <w:proofErr w:type="spellEnd"/>
            <w:r w:rsidRPr="00AF79CE">
              <w:rPr>
                <w:rFonts w:cs="Arial"/>
                <w:b w:val="0"/>
                <w:sz w:val="20"/>
                <w:szCs w:val="20"/>
                <w:lang w:val="es-ES"/>
              </w:rPr>
              <w:t xml:space="preserve"> </w:t>
            </w:r>
            <w:proofErr w:type="spellStart"/>
            <w:r w:rsidRPr="00AF79CE">
              <w:rPr>
                <w:rFonts w:cs="Arial"/>
                <w:b w:val="0"/>
                <w:sz w:val="20"/>
                <w:szCs w:val="20"/>
                <w:lang w:val="es-ES"/>
              </w:rPr>
              <w:t>uhdei</w:t>
            </w:r>
            <w:proofErr w:type="spellEnd"/>
            <w:r w:rsidRPr="00AF79CE">
              <w:rPr>
                <w:rFonts w:cs="Arial"/>
                <w:b w:val="0"/>
                <w:sz w:val="20"/>
                <w:szCs w:val="20"/>
                <w:lang w:val="es-ES"/>
              </w:rPr>
              <w:t>) y el albaricoque (</w:t>
            </w:r>
            <w:proofErr w:type="spellStart"/>
            <w:r w:rsidRPr="00AF79CE">
              <w:rPr>
                <w:rFonts w:cs="Arial"/>
                <w:b w:val="0"/>
                <w:sz w:val="20"/>
                <w:szCs w:val="20"/>
                <w:lang w:val="es-ES"/>
              </w:rPr>
              <w:t>Eryobotria</w:t>
            </w:r>
            <w:proofErr w:type="spellEnd"/>
            <w:r w:rsidRPr="00AF79CE">
              <w:rPr>
                <w:rFonts w:cs="Arial"/>
                <w:b w:val="0"/>
                <w:sz w:val="20"/>
                <w:szCs w:val="20"/>
                <w:lang w:val="es-ES"/>
              </w:rPr>
              <w:t xml:space="preserve"> japónica) también se registraron en este sitio.</w:t>
            </w:r>
          </w:p>
          <w:p w14:paraId="0E13E1B5" w14:textId="77777777" w:rsidR="00AF79CE" w:rsidRPr="00AF79CE" w:rsidRDefault="00AF79CE" w:rsidP="00AF79CE">
            <w:pPr>
              <w:jc w:val="both"/>
              <w:rPr>
                <w:rFonts w:cs="Arial"/>
                <w:b w:val="0"/>
                <w:sz w:val="20"/>
                <w:szCs w:val="20"/>
                <w:lang w:val="es-ES"/>
              </w:rPr>
            </w:pPr>
          </w:p>
          <w:p w14:paraId="2BC6A882" w14:textId="77777777" w:rsidR="00AF79CE" w:rsidRPr="00AF79CE" w:rsidRDefault="00AF79CE" w:rsidP="00AF79CE">
            <w:pPr>
              <w:jc w:val="both"/>
              <w:rPr>
                <w:rFonts w:cs="Arial"/>
                <w:b w:val="0"/>
                <w:sz w:val="20"/>
                <w:szCs w:val="20"/>
                <w:lang w:val="es-ES"/>
              </w:rPr>
            </w:pPr>
            <w:r w:rsidRPr="00AF79CE">
              <w:rPr>
                <w:rFonts w:cs="Arial"/>
                <w:b w:val="0"/>
                <w:sz w:val="20"/>
                <w:szCs w:val="20"/>
                <w:lang w:val="es-ES"/>
              </w:rPr>
              <w:t xml:space="preserve">Este tipo de bosque se </w:t>
            </w:r>
            <w:proofErr w:type="spellStart"/>
            <w:r w:rsidRPr="00AF79CE">
              <w:rPr>
                <w:rFonts w:cs="Arial"/>
                <w:b w:val="0"/>
                <w:sz w:val="20"/>
                <w:szCs w:val="20"/>
                <w:lang w:val="es-ES"/>
              </w:rPr>
              <w:t>ubico</w:t>
            </w:r>
            <w:proofErr w:type="spellEnd"/>
            <w:r w:rsidRPr="00AF79CE">
              <w:rPr>
                <w:rFonts w:cs="Arial"/>
                <w:b w:val="0"/>
                <w:sz w:val="20"/>
                <w:szCs w:val="20"/>
                <w:lang w:val="es-ES"/>
              </w:rPr>
              <w:t xml:space="preserve"> debajo del páramo de </w:t>
            </w:r>
            <w:proofErr w:type="spellStart"/>
            <w:r w:rsidRPr="00AF79CE">
              <w:rPr>
                <w:rFonts w:cs="Arial"/>
                <w:b w:val="0"/>
                <w:sz w:val="20"/>
                <w:szCs w:val="20"/>
                <w:lang w:val="es-ES"/>
              </w:rPr>
              <w:t>Santurban</w:t>
            </w:r>
            <w:proofErr w:type="spellEnd"/>
            <w:r w:rsidRPr="00AF79CE">
              <w:rPr>
                <w:rFonts w:cs="Arial"/>
                <w:b w:val="0"/>
                <w:sz w:val="20"/>
                <w:szCs w:val="20"/>
                <w:lang w:val="es-ES"/>
              </w:rPr>
              <w:t xml:space="preserve"> – Berlín con una extensión de 7910,38 ha correspondientes a un 4,10% del área total de la cuenca; se distribuye principalmente en el departamento de Norte de Santander en el municipio de Cachira en las veredas </w:t>
            </w:r>
            <w:proofErr w:type="spellStart"/>
            <w:r w:rsidRPr="00AF79CE">
              <w:rPr>
                <w:rFonts w:cs="Arial"/>
                <w:b w:val="0"/>
                <w:sz w:val="20"/>
                <w:szCs w:val="20"/>
                <w:lang w:val="es-ES"/>
              </w:rPr>
              <w:t>Barabdillas</w:t>
            </w:r>
            <w:proofErr w:type="spellEnd"/>
            <w:r w:rsidRPr="00AF79CE">
              <w:rPr>
                <w:rFonts w:cs="Arial"/>
                <w:b w:val="0"/>
                <w:sz w:val="20"/>
                <w:szCs w:val="20"/>
                <w:lang w:val="es-ES"/>
              </w:rPr>
              <w:t xml:space="preserve">, Barro Hondo, Bellavista, Canoas, </w:t>
            </w:r>
            <w:proofErr w:type="spellStart"/>
            <w:r w:rsidRPr="00AF79CE">
              <w:rPr>
                <w:rFonts w:cs="Arial"/>
                <w:b w:val="0"/>
                <w:sz w:val="20"/>
                <w:szCs w:val="20"/>
                <w:lang w:val="es-ES"/>
              </w:rPr>
              <w:t>Galvanes</w:t>
            </w:r>
            <w:proofErr w:type="spellEnd"/>
            <w:r w:rsidRPr="00AF79CE">
              <w:rPr>
                <w:rFonts w:cs="Arial"/>
                <w:b w:val="0"/>
                <w:sz w:val="20"/>
                <w:szCs w:val="20"/>
                <w:lang w:val="es-ES"/>
              </w:rPr>
              <w:t>, Corregimiento la carrera, entre otras.</w:t>
            </w:r>
          </w:p>
          <w:p w14:paraId="215A5EC6" w14:textId="77777777" w:rsidR="00AF79CE" w:rsidRPr="00AF79CE" w:rsidRDefault="00AF79CE" w:rsidP="00AF79CE">
            <w:pPr>
              <w:jc w:val="both"/>
              <w:rPr>
                <w:rFonts w:cs="Arial"/>
                <w:b w:val="0"/>
                <w:sz w:val="20"/>
                <w:szCs w:val="20"/>
                <w:lang w:val="es-ES"/>
              </w:rPr>
            </w:pPr>
          </w:p>
          <w:p w14:paraId="22F2A687" w14:textId="77777777" w:rsidR="00AF79CE" w:rsidRPr="00AF79CE" w:rsidRDefault="00AF79CE" w:rsidP="00AF79CE">
            <w:pPr>
              <w:jc w:val="both"/>
              <w:rPr>
                <w:rFonts w:cs="Arial"/>
                <w:b w:val="0"/>
                <w:sz w:val="20"/>
                <w:szCs w:val="20"/>
                <w:u w:val="single"/>
                <w:lang w:val="es-ES"/>
              </w:rPr>
            </w:pPr>
            <w:r w:rsidRPr="00AF79CE">
              <w:rPr>
                <w:rFonts w:cs="Arial"/>
                <w:b w:val="0"/>
                <w:sz w:val="20"/>
                <w:szCs w:val="20"/>
                <w:u w:val="single"/>
                <w:lang w:val="es-ES"/>
              </w:rPr>
              <w:t xml:space="preserve">Bosque Andino </w:t>
            </w:r>
            <w:proofErr w:type="spellStart"/>
            <w:r w:rsidRPr="00AF79CE">
              <w:rPr>
                <w:rFonts w:cs="Arial"/>
                <w:b w:val="0"/>
                <w:sz w:val="20"/>
                <w:szCs w:val="20"/>
                <w:u w:val="single"/>
                <w:lang w:val="es-ES"/>
              </w:rPr>
              <w:t>Relictual</w:t>
            </w:r>
            <w:proofErr w:type="spellEnd"/>
          </w:p>
          <w:p w14:paraId="51EB3F4A" w14:textId="77777777" w:rsidR="00AF79CE" w:rsidRPr="00AF79CE" w:rsidRDefault="00AF79CE" w:rsidP="00AF79CE">
            <w:pPr>
              <w:jc w:val="both"/>
              <w:rPr>
                <w:rFonts w:cs="Arial"/>
                <w:b w:val="0"/>
                <w:sz w:val="20"/>
                <w:szCs w:val="20"/>
                <w:lang w:val="es-ES"/>
              </w:rPr>
            </w:pPr>
          </w:p>
          <w:p w14:paraId="48E7E734" w14:textId="77777777" w:rsidR="00AF79CE" w:rsidRPr="00AF79CE" w:rsidRDefault="00AF79CE" w:rsidP="00AF79CE">
            <w:pPr>
              <w:jc w:val="both"/>
              <w:rPr>
                <w:rFonts w:cs="Arial"/>
                <w:b w:val="0"/>
                <w:sz w:val="20"/>
                <w:szCs w:val="20"/>
                <w:lang w:val="es-ES"/>
              </w:rPr>
            </w:pPr>
            <w:r w:rsidRPr="00AF79CE">
              <w:rPr>
                <w:rFonts w:cs="Arial"/>
                <w:b w:val="0"/>
                <w:sz w:val="20"/>
                <w:szCs w:val="20"/>
                <w:lang w:val="es-ES"/>
              </w:rPr>
              <w:t xml:space="preserve">En este estudio, el Bosque Andino agrupa el denominado Bosque Andino Medio y el Bosque Subandino. El bosque andino medio (B-A) corresponde al denominado “clima frío húmedo”; se distribuye entre los 2100 y los 2800 msnm, cota en la que </w:t>
            </w:r>
            <w:proofErr w:type="spellStart"/>
            <w:r w:rsidRPr="00AF79CE">
              <w:rPr>
                <w:rFonts w:cs="Arial"/>
                <w:b w:val="0"/>
                <w:sz w:val="20"/>
                <w:szCs w:val="20"/>
                <w:lang w:val="es-ES"/>
              </w:rPr>
              <w:t>estimadamente</w:t>
            </w:r>
            <w:proofErr w:type="spellEnd"/>
            <w:r w:rsidRPr="00AF79CE">
              <w:rPr>
                <w:rFonts w:cs="Arial"/>
                <w:b w:val="0"/>
                <w:sz w:val="20"/>
                <w:szCs w:val="20"/>
                <w:lang w:val="es-ES"/>
              </w:rPr>
              <w:t xml:space="preserve"> aparece el bosque alto-andino; tiene como características una temperatura media anual entre 15 y 12 °C y una precipitación media anual entre 900 y 1.000 </w:t>
            </w:r>
            <w:proofErr w:type="spellStart"/>
            <w:r w:rsidRPr="00AF79CE">
              <w:rPr>
                <w:rFonts w:cs="Arial"/>
                <w:b w:val="0"/>
                <w:sz w:val="20"/>
                <w:szCs w:val="20"/>
                <w:lang w:val="es-ES"/>
              </w:rPr>
              <w:t>mm.</w:t>
            </w:r>
            <w:proofErr w:type="spellEnd"/>
            <w:r w:rsidRPr="00AF79CE">
              <w:rPr>
                <w:rFonts w:cs="Arial"/>
                <w:b w:val="0"/>
                <w:sz w:val="20"/>
                <w:szCs w:val="20"/>
                <w:lang w:val="es-ES"/>
              </w:rPr>
              <w:t xml:space="preserve"> El bosque andino presenta un paisaje frecuentemente nublado a causa de la elevada condensación de la humedad ambiental por encima de los 2.400 m. Por lo general, el ambiente en el interior es muy húmedo y presenta gran cantidad de superficies cubiertas por musgos, </w:t>
            </w:r>
            <w:proofErr w:type="spellStart"/>
            <w:r w:rsidRPr="00AF79CE">
              <w:rPr>
                <w:rFonts w:cs="Arial"/>
                <w:b w:val="0"/>
                <w:sz w:val="20"/>
                <w:szCs w:val="20"/>
                <w:lang w:val="es-ES"/>
              </w:rPr>
              <w:t>selaginelas</w:t>
            </w:r>
            <w:proofErr w:type="spellEnd"/>
            <w:r w:rsidRPr="00AF79CE">
              <w:rPr>
                <w:rFonts w:cs="Arial"/>
                <w:b w:val="0"/>
                <w:sz w:val="20"/>
                <w:szCs w:val="20"/>
                <w:lang w:val="es-ES"/>
              </w:rPr>
              <w:t xml:space="preserve"> y líquenes.</w:t>
            </w:r>
          </w:p>
          <w:p w14:paraId="039D9042" w14:textId="77777777" w:rsidR="00AF79CE" w:rsidRPr="00AF79CE" w:rsidRDefault="00AF79CE" w:rsidP="00AF79CE">
            <w:pPr>
              <w:jc w:val="both"/>
              <w:rPr>
                <w:rFonts w:cs="Arial"/>
                <w:b w:val="0"/>
                <w:sz w:val="20"/>
                <w:szCs w:val="20"/>
                <w:lang w:val="es-ES"/>
              </w:rPr>
            </w:pPr>
          </w:p>
          <w:p w14:paraId="4EB3E9B3" w14:textId="77777777" w:rsidR="00AF79CE" w:rsidRPr="00AF79CE" w:rsidRDefault="00AF79CE" w:rsidP="00AF79CE">
            <w:pPr>
              <w:jc w:val="both"/>
              <w:rPr>
                <w:rFonts w:cs="Arial"/>
                <w:b w:val="0"/>
                <w:sz w:val="20"/>
                <w:szCs w:val="20"/>
                <w:lang w:val="es-ES"/>
              </w:rPr>
            </w:pPr>
            <w:r w:rsidRPr="00AF79CE">
              <w:rPr>
                <w:rFonts w:cs="Arial"/>
                <w:b w:val="0"/>
                <w:sz w:val="20"/>
                <w:szCs w:val="20"/>
                <w:lang w:val="es-ES"/>
              </w:rPr>
              <w:t xml:space="preserve">Las coberturas naturales dominantes son el Bosque denso alto de tierra firme, el Bosque denso bajo de tierra firme, el Bosque fragmentado con pastos y cultivos y la Vegetación secundaria alta. Las siguientes especies se desarrollan en asociación y constituyen la principal composición florística indicadora de las selvas y bosques que ocurren en este piso bioclimático: roble (Quercus </w:t>
            </w:r>
            <w:proofErr w:type="spellStart"/>
            <w:r w:rsidRPr="00AF79CE">
              <w:rPr>
                <w:rFonts w:cs="Arial"/>
                <w:b w:val="0"/>
                <w:sz w:val="20"/>
                <w:szCs w:val="20"/>
                <w:lang w:val="es-ES"/>
              </w:rPr>
              <w:t>humboldtii</w:t>
            </w:r>
            <w:proofErr w:type="spellEnd"/>
            <w:r w:rsidRPr="00AF79CE">
              <w:rPr>
                <w:rFonts w:cs="Arial"/>
                <w:b w:val="0"/>
                <w:sz w:val="20"/>
                <w:szCs w:val="20"/>
                <w:lang w:val="es-ES"/>
              </w:rPr>
              <w:t xml:space="preserve">), </w:t>
            </w:r>
            <w:proofErr w:type="spellStart"/>
            <w:r w:rsidRPr="00AF79CE">
              <w:rPr>
                <w:rFonts w:cs="Arial"/>
                <w:b w:val="0"/>
                <w:sz w:val="20"/>
                <w:szCs w:val="20"/>
                <w:lang w:val="es-ES"/>
              </w:rPr>
              <w:t>candelo</w:t>
            </w:r>
            <w:proofErr w:type="spellEnd"/>
            <w:r w:rsidRPr="00AF79CE">
              <w:rPr>
                <w:rFonts w:cs="Arial"/>
                <w:b w:val="0"/>
                <w:sz w:val="20"/>
                <w:szCs w:val="20"/>
                <w:lang w:val="es-ES"/>
              </w:rPr>
              <w:t xml:space="preserve"> (</w:t>
            </w:r>
            <w:proofErr w:type="spellStart"/>
            <w:r w:rsidRPr="00AF79CE">
              <w:rPr>
                <w:rFonts w:cs="Arial"/>
                <w:b w:val="0"/>
                <w:sz w:val="20"/>
                <w:szCs w:val="20"/>
                <w:lang w:val="es-ES"/>
              </w:rPr>
              <w:t>Hyeronima</w:t>
            </w:r>
            <w:proofErr w:type="spellEnd"/>
            <w:r w:rsidRPr="00AF79CE">
              <w:rPr>
                <w:rFonts w:cs="Arial"/>
                <w:b w:val="0"/>
                <w:sz w:val="20"/>
                <w:szCs w:val="20"/>
                <w:lang w:val="es-ES"/>
              </w:rPr>
              <w:t xml:space="preserve"> </w:t>
            </w:r>
            <w:proofErr w:type="spellStart"/>
            <w:r w:rsidRPr="00AF79CE">
              <w:rPr>
                <w:rFonts w:cs="Arial"/>
                <w:b w:val="0"/>
                <w:sz w:val="20"/>
                <w:szCs w:val="20"/>
                <w:lang w:val="es-ES"/>
              </w:rPr>
              <w:t>macrocarpa</w:t>
            </w:r>
            <w:proofErr w:type="spellEnd"/>
            <w:r w:rsidRPr="00AF79CE">
              <w:rPr>
                <w:rFonts w:cs="Arial"/>
                <w:b w:val="0"/>
                <w:sz w:val="20"/>
                <w:szCs w:val="20"/>
                <w:lang w:val="es-ES"/>
              </w:rPr>
              <w:t>), palma de cera (</w:t>
            </w:r>
            <w:proofErr w:type="spellStart"/>
            <w:r w:rsidRPr="00AF79CE">
              <w:rPr>
                <w:rFonts w:cs="Arial"/>
                <w:b w:val="0"/>
                <w:sz w:val="20"/>
                <w:szCs w:val="20"/>
                <w:lang w:val="es-ES"/>
              </w:rPr>
              <w:t>Ceroxylum</w:t>
            </w:r>
            <w:proofErr w:type="spellEnd"/>
            <w:r w:rsidRPr="00AF79CE">
              <w:rPr>
                <w:rFonts w:cs="Arial"/>
                <w:b w:val="0"/>
                <w:sz w:val="20"/>
                <w:szCs w:val="20"/>
                <w:lang w:val="es-ES"/>
              </w:rPr>
              <w:t xml:space="preserve"> </w:t>
            </w:r>
            <w:proofErr w:type="spellStart"/>
            <w:r w:rsidRPr="00AF79CE">
              <w:rPr>
                <w:rFonts w:cs="Arial"/>
                <w:b w:val="0"/>
                <w:sz w:val="20"/>
                <w:szCs w:val="20"/>
                <w:lang w:val="es-ES"/>
              </w:rPr>
              <w:t>sp</w:t>
            </w:r>
            <w:proofErr w:type="spellEnd"/>
            <w:r w:rsidRPr="00AF79CE">
              <w:rPr>
                <w:rFonts w:cs="Arial"/>
                <w:b w:val="0"/>
                <w:sz w:val="20"/>
                <w:szCs w:val="20"/>
                <w:lang w:val="es-ES"/>
              </w:rPr>
              <w:t>.), siete cueros (</w:t>
            </w:r>
            <w:proofErr w:type="spellStart"/>
            <w:r w:rsidRPr="00AF79CE">
              <w:rPr>
                <w:rFonts w:cs="Arial"/>
                <w:b w:val="0"/>
                <w:sz w:val="20"/>
                <w:szCs w:val="20"/>
                <w:lang w:val="es-ES"/>
              </w:rPr>
              <w:t>Tibouchina</w:t>
            </w:r>
            <w:proofErr w:type="spellEnd"/>
            <w:r w:rsidRPr="00AF79CE">
              <w:rPr>
                <w:rFonts w:cs="Arial"/>
                <w:b w:val="0"/>
                <w:sz w:val="20"/>
                <w:szCs w:val="20"/>
                <w:lang w:val="es-ES"/>
              </w:rPr>
              <w:t xml:space="preserve"> </w:t>
            </w:r>
            <w:proofErr w:type="spellStart"/>
            <w:r w:rsidRPr="00AF79CE">
              <w:rPr>
                <w:rFonts w:cs="Arial"/>
                <w:b w:val="0"/>
                <w:sz w:val="20"/>
                <w:szCs w:val="20"/>
                <w:lang w:val="es-ES"/>
              </w:rPr>
              <w:t>sp</w:t>
            </w:r>
            <w:proofErr w:type="spellEnd"/>
            <w:r w:rsidRPr="00AF79CE">
              <w:rPr>
                <w:rFonts w:cs="Arial"/>
                <w:b w:val="0"/>
                <w:sz w:val="20"/>
                <w:szCs w:val="20"/>
                <w:lang w:val="es-ES"/>
              </w:rPr>
              <w:t>.), encenillo (</w:t>
            </w:r>
            <w:proofErr w:type="spellStart"/>
            <w:r w:rsidRPr="00AF79CE">
              <w:rPr>
                <w:rFonts w:cs="Arial"/>
                <w:b w:val="0"/>
                <w:sz w:val="20"/>
                <w:szCs w:val="20"/>
                <w:lang w:val="es-ES"/>
              </w:rPr>
              <w:t>Weinmannia</w:t>
            </w:r>
            <w:proofErr w:type="spellEnd"/>
            <w:r w:rsidRPr="00AF79CE">
              <w:rPr>
                <w:rFonts w:cs="Arial"/>
                <w:b w:val="0"/>
                <w:sz w:val="20"/>
                <w:szCs w:val="20"/>
                <w:lang w:val="es-ES"/>
              </w:rPr>
              <w:t xml:space="preserve"> </w:t>
            </w:r>
            <w:proofErr w:type="spellStart"/>
            <w:r w:rsidRPr="00AF79CE">
              <w:rPr>
                <w:rFonts w:cs="Arial"/>
                <w:b w:val="0"/>
                <w:sz w:val="20"/>
                <w:szCs w:val="20"/>
                <w:lang w:val="es-ES"/>
              </w:rPr>
              <w:t>sp</w:t>
            </w:r>
            <w:proofErr w:type="spellEnd"/>
            <w:r w:rsidRPr="00AF79CE">
              <w:rPr>
                <w:rFonts w:cs="Arial"/>
                <w:b w:val="0"/>
                <w:sz w:val="20"/>
                <w:szCs w:val="20"/>
                <w:lang w:val="es-ES"/>
              </w:rPr>
              <w:t xml:space="preserve">.), aliso (Alnus </w:t>
            </w:r>
            <w:proofErr w:type="spellStart"/>
            <w:r w:rsidRPr="00AF79CE">
              <w:rPr>
                <w:rFonts w:cs="Arial"/>
                <w:b w:val="0"/>
                <w:sz w:val="20"/>
                <w:szCs w:val="20"/>
                <w:lang w:val="es-ES"/>
              </w:rPr>
              <w:t>jorullensis</w:t>
            </w:r>
            <w:proofErr w:type="spellEnd"/>
            <w:r w:rsidRPr="00AF79CE">
              <w:rPr>
                <w:rFonts w:cs="Arial"/>
                <w:b w:val="0"/>
                <w:sz w:val="20"/>
                <w:szCs w:val="20"/>
                <w:lang w:val="es-ES"/>
              </w:rPr>
              <w:t>), helecho arbóreo (</w:t>
            </w:r>
            <w:proofErr w:type="spellStart"/>
            <w:r w:rsidRPr="00AF79CE">
              <w:rPr>
                <w:rFonts w:cs="Arial"/>
                <w:b w:val="0"/>
                <w:sz w:val="20"/>
                <w:szCs w:val="20"/>
                <w:lang w:val="es-ES"/>
              </w:rPr>
              <w:t>Cyathea</w:t>
            </w:r>
            <w:proofErr w:type="spellEnd"/>
            <w:r w:rsidRPr="00AF79CE">
              <w:rPr>
                <w:rFonts w:cs="Arial"/>
                <w:b w:val="0"/>
                <w:sz w:val="20"/>
                <w:szCs w:val="20"/>
                <w:lang w:val="es-ES"/>
              </w:rPr>
              <w:t xml:space="preserve"> </w:t>
            </w:r>
            <w:proofErr w:type="spellStart"/>
            <w:r w:rsidRPr="00AF79CE">
              <w:rPr>
                <w:rFonts w:cs="Arial"/>
                <w:b w:val="0"/>
                <w:sz w:val="20"/>
                <w:szCs w:val="20"/>
                <w:lang w:val="es-ES"/>
              </w:rPr>
              <w:t>sp</w:t>
            </w:r>
            <w:proofErr w:type="spellEnd"/>
            <w:r w:rsidRPr="00AF79CE">
              <w:rPr>
                <w:rFonts w:cs="Arial"/>
                <w:b w:val="0"/>
                <w:sz w:val="20"/>
                <w:szCs w:val="20"/>
                <w:lang w:val="es-ES"/>
              </w:rPr>
              <w:t xml:space="preserve">.), </w:t>
            </w:r>
            <w:proofErr w:type="spellStart"/>
            <w:r w:rsidRPr="00AF79CE">
              <w:rPr>
                <w:rFonts w:cs="Arial"/>
                <w:b w:val="0"/>
                <w:sz w:val="20"/>
                <w:szCs w:val="20"/>
                <w:lang w:val="es-ES"/>
              </w:rPr>
              <w:t>chaquiro</w:t>
            </w:r>
            <w:proofErr w:type="spellEnd"/>
            <w:r w:rsidRPr="00AF79CE">
              <w:rPr>
                <w:rFonts w:cs="Arial"/>
                <w:b w:val="0"/>
                <w:sz w:val="20"/>
                <w:szCs w:val="20"/>
                <w:lang w:val="es-ES"/>
              </w:rPr>
              <w:t xml:space="preserve"> (</w:t>
            </w:r>
            <w:proofErr w:type="spellStart"/>
            <w:r w:rsidRPr="00AF79CE">
              <w:rPr>
                <w:rFonts w:cs="Arial"/>
                <w:b w:val="0"/>
                <w:sz w:val="20"/>
                <w:szCs w:val="20"/>
                <w:lang w:val="es-ES"/>
              </w:rPr>
              <w:t>Podocarpus</w:t>
            </w:r>
            <w:proofErr w:type="spellEnd"/>
            <w:r w:rsidRPr="00AF79CE">
              <w:rPr>
                <w:rFonts w:cs="Arial"/>
                <w:b w:val="0"/>
                <w:sz w:val="20"/>
                <w:szCs w:val="20"/>
                <w:lang w:val="es-ES"/>
              </w:rPr>
              <w:t xml:space="preserve"> </w:t>
            </w:r>
            <w:proofErr w:type="spellStart"/>
            <w:r w:rsidRPr="00AF79CE">
              <w:rPr>
                <w:rFonts w:cs="Arial"/>
                <w:b w:val="0"/>
                <w:sz w:val="20"/>
                <w:szCs w:val="20"/>
                <w:lang w:val="es-ES"/>
              </w:rPr>
              <w:t>sp</w:t>
            </w:r>
            <w:proofErr w:type="spellEnd"/>
            <w:r w:rsidRPr="00AF79CE">
              <w:rPr>
                <w:rFonts w:cs="Arial"/>
                <w:b w:val="0"/>
                <w:sz w:val="20"/>
                <w:szCs w:val="20"/>
                <w:lang w:val="es-ES"/>
              </w:rPr>
              <w:t>.). El bosque subandino en la región que ocupa la mayor extensión entre todas las zonas de vida existentes y presenta una alta intervención por su aptitud que favorece a la agricultura y la ganadería no tan intensiva, en la cual el bosque secundario es el tipo de cobertura vegetal más complejo, adquiriendo fisionomías distintas en uno y otro sector de acuerdo la disponibilidad de agua. Generalmente, este tipo de bosque presenta altas pendientes y baja calidad de los suelos, los cuales no permiten el desarrollo intensivo de coberturas de uso agropecuario (CDMB 2014).</w:t>
            </w:r>
          </w:p>
          <w:p w14:paraId="67195AEE" w14:textId="77777777" w:rsidR="00AF79CE" w:rsidRPr="00AF79CE" w:rsidRDefault="00AF79CE" w:rsidP="00AF79CE">
            <w:pPr>
              <w:jc w:val="both"/>
              <w:rPr>
                <w:rFonts w:cs="Arial"/>
                <w:b w:val="0"/>
                <w:sz w:val="20"/>
                <w:szCs w:val="20"/>
                <w:lang w:val="es-ES"/>
              </w:rPr>
            </w:pPr>
          </w:p>
          <w:p w14:paraId="52C253AC" w14:textId="77777777" w:rsidR="00AF79CE" w:rsidRPr="00AF79CE" w:rsidRDefault="00AF79CE" w:rsidP="00AF79CE">
            <w:pPr>
              <w:jc w:val="both"/>
              <w:rPr>
                <w:rFonts w:cs="Arial"/>
                <w:b w:val="0"/>
                <w:sz w:val="20"/>
                <w:szCs w:val="20"/>
                <w:lang w:val="es-ES"/>
              </w:rPr>
            </w:pPr>
            <w:r w:rsidRPr="00AF79CE">
              <w:rPr>
                <w:rFonts w:cs="Arial"/>
                <w:b w:val="0"/>
                <w:sz w:val="20"/>
                <w:szCs w:val="20"/>
                <w:lang w:val="es-ES"/>
              </w:rPr>
              <w:t xml:space="preserve">El bosque andino </w:t>
            </w:r>
            <w:proofErr w:type="spellStart"/>
            <w:r w:rsidRPr="00AF79CE">
              <w:rPr>
                <w:rFonts w:cs="Arial"/>
                <w:b w:val="0"/>
                <w:sz w:val="20"/>
                <w:szCs w:val="20"/>
                <w:lang w:val="es-ES"/>
              </w:rPr>
              <w:t>relictual</w:t>
            </w:r>
            <w:proofErr w:type="spellEnd"/>
            <w:r w:rsidRPr="00AF79CE">
              <w:rPr>
                <w:rFonts w:cs="Arial"/>
                <w:b w:val="0"/>
                <w:sz w:val="20"/>
                <w:szCs w:val="20"/>
                <w:lang w:val="es-ES"/>
              </w:rPr>
              <w:t xml:space="preserve"> cuenta con una extensión de 21877,77 ha aproximadamente que corresponden al 11,34% del área total de la Cuenca Lebrija Medio, se encuentra ubicado principalmente en: municipio de Ábrego en las veredas Canoas, el Loro, el Páramo, Nuevo Sol y </w:t>
            </w:r>
            <w:proofErr w:type="spellStart"/>
            <w:r w:rsidRPr="00AF79CE">
              <w:rPr>
                <w:rFonts w:cs="Arial"/>
                <w:b w:val="0"/>
                <w:sz w:val="20"/>
                <w:szCs w:val="20"/>
                <w:lang w:val="es-ES"/>
              </w:rPr>
              <w:t>Páramito</w:t>
            </w:r>
            <w:proofErr w:type="spellEnd"/>
            <w:r w:rsidRPr="00AF79CE">
              <w:rPr>
                <w:rFonts w:cs="Arial"/>
                <w:b w:val="0"/>
                <w:sz w:val="20"/>
                <w:szCs w:val="20"/>
                <w:lang w:val="es-ES"/>
              </w:rPr>
              <w:t xml:space="preserve">; municipio de Cachira en las veredas Alto Movil, Boca de Monte, Canoas, Carcasí, Cristo Rey, entre otras; municipio de La Esperanza en las veredas Brillante Alto, Brillante Bajo, el Filo, Mesetas, </w:t>
            </w:r>
            <w:proofErr w:type="spellStart"/>
            <w:r w:rsidRPr="00AF79CE">
              <w:rPr>
                <w:rFonts w:cs="Arial"/>
                <w:b w:val="0"/>
                <w:sz w:val="20"/>
                <w:szCs w:val="20"/>
                <w:lang w:val="es-ES"/>
              </w:rPr>
              <w:t>Otovas</w:t>
            </w:r>
            <w:proofErr w:type="spellEnd"/>
            <w:r w:rsidRPr="00AF79CE">
              <w:rPr>
                <w:rFonts w:cs="Arial"/>
                <w:b w:val="0"/>
                <w:sz w:val="20"/>
                <w:szCs w:val="20"/>
                <w:lang w:val="es-ES"/>
              </w:rPr>
              <w:t>, entre otras y municipio el Playón en la vereda Pino.</w:t>
            </w:r>
          </w:p>
          <w:p w14:paraId="0410C6F4" w14:textId="77777777" w:rsidR="00AF79CE" w:rsidRPr="00AF79CE" w:rsidRDefault="00AF79CE" w:rsidP="00AF79CE">
            <w:pPr>
              <w:jc w:val="both"/>
              <w:rPr>
                <w:rFonts w:cs="Arial"/>
                <w:b w:val="0"/>
                <w:sz w:val="20"/>
                <w:szCs w:val="20"/>
                <w:lang w:val="es-ES"/>
              </w:rPr>
            </w:pPr>
          </w:p>
          <w:p w14:paraId="12AD2D79" w14:textId="77777777" w:rsidR="00AF79CE" w:rsidRPr="00AF79CE" w:rsidRDefault="00AF79CE" w:rsidP="00AF79CE">
            <w:pPr>
              <w:jc w:val="both"/>
              <w:rPr>
                <w:rFonts w:cs="Arial"/>
                <w:b w:val="0"/>
                <w:sz w:val="20"/>
                <w:szCs w:val="20"/>
                <w:lang w:val="es-ES"/>
              </w:rPr>
            </w:pPr>
          </w:p>
          <w:p w14:paraId="18B64297" w14:textId="77777777" w:rsidR="00AF79CE" w:rsidRPr="00AF79CE" w:rsidRDefault="00AF79CE" w:rsidP="00AF79CE">
            <w:pPr>
              <w:jc w:val="both"/>
              <w:rPr>
                <w:rFonts w:cs="Arial"/>
                <w:b w:val="0"/>
                <w:sz w:val="20"/>
                <w:szCs w:val="20"/>
                <w:u w:val="single"/>
                <w:lang w:val="es-ES"/>
              </w:rPr>
            </w:pPr>
            <w:r w:rsidRPr="00AF79CE">
              <w:rPr>
                <w:rFonts w:cs="Arial"/>
                <w:b w:val="0"/>
                <w:sz w:val="20"/>
                <w:szCs w:val="20"/>
                <w:u w:val="single"/>
                <w:lang w:val="es-ES"/>
              </w:rPr>
              <w:t>Bosque de Galería y/o Ripario</w:t>
            </w:r>
          </w:p>
          <w:p w14:paraId="23256736" w14:textId="77777777" w:rsidR="00AF79CE" w:rsidRPr="00AF79CE" w:rsidRDefault="00AF79CE" w:rsidP="00AF79CE">
            <w:pPr>
              <w:jc w:val="both"/>
              <w:rPr>
                <w:rFonts w:cs="Arial"/>
                <w:b w:val="0"/>
                <w:sz w:val="20"/>
                <w:szCs w:val="20"/>
                <w:lang w:val="es-ES"/>
              </w:rPr>
            </w:pPr>
          </w:p>
          <w:p w14:paraId="6CF5399D" w14:textId="77777777" w:rsidR="00AF79CE" w:rsidRPr="00AF79CE" w:rsidRDefault="00AF79CE" w:rsidP="00AF79CE">
            <w:pPr>
              <w:jc w:val="both"/>
              <w:rPr>
                <w:rFonts w:cs="Arial"/>
                <w:b w:val="0"/>
                <w:sz w:val="20"/>
                <w:szCs w:val="20"/>
                <w:lang w:val="es-ES"/>
              </w:rPr>
            </w:pPr>
            <w:r w:rsidRPr="00AF79CE">
              <w:rPr>
                <w:rFonts w:cs="Arial"/>
                <w:b w:val="0"/>
                <w:sz w:val="20"/>
                <w:szCs w:val="20"/>
                <w:lang w:val="es-ES"/>
              </w:rPr>
              <w:t>Estos bosques están constituidos por vegetación arbórea que bordea los márgenes de cursos de aguas permanentes o temporales. Está limitado por su amplitud, ya que bordea los cursos de agua y los drenajes naturales. Desempeña un importante papel en la preservación del recurso hídrico, estabilización de los cauces y como albergue y corredor natural de la fauna en la región. La presencia de franjas de bosque en cursos de agua de zonas andinas, son conocidas como bosque ripario.</w:t>
            </w:r>
          </w:p>
          <w:p w14:paraId="16B02251" w14:textId="77777777" w:rsidR="00AF79CE" w:rsidRPr="00AF79CE" w:rsidRDefault="00AF79CE" w:rsidP="00AF79CE">
            <w:pPr>
              <w:jc w:val="both"/>
              <w:rPr>
                <w:rFonts w:cs="Arial"/>
                <w:b w:val="0"/>
                <w:sz w:val="20"/>
                <w:szCs w:val="20"/>
                <w:lang w:val="es-ES"/>
              </w:rPr>
            </w:pPr>
          </w:p>
          <w:p w14:paraId="7E212EA6" w14:textId="77777777" w:rsidR="00AF79CE" w:rsidRPr="00AF79CE" w:rsidRDefault="00AF79CE" w:rsidP="00AF79CE">
            <w:pPr>
              <w:jc w:val="both"/>
              <w:rPr>
                <w:rFonts w:cs="Arial"/>
                <w:b w:val="0"/>
                <w:sz w:val="20"/>
                <w:szCs w:val="20"/>
                <w:lang w:val="es-ES"/>
              </w:rPr>
            </w:pPr>
            <w:r w:rsidRPr="00AF79CE">
              <w:rPr>
                <w:rFonts w:cs="Arial"/>
                <w:b w:val="0"/>
                <w:sz w:val="20"/>
                <w:szCs w:val="20"/>
                <w:lang w:val="es-ES"/>
              </w:rPr>
              <w:t xml:space="preserve">Estos bosques se ubican en las riberas de los ríos Lebrija, Cáchira del Espíritu Santo, </w:t>
            </w:r>
            <w:proofErr w:type="spellStart"/>
            <w:r w:rsidRPr="00AF79CE">
              <w:rPr>
                <w:rFonts w:cs="Arial"/>
                <w:b w:val="0"/>
                <w:sz w:val="20"/>
                <w:szCs w:val="20"/>
                <w:lang w:val="es-ES"/>
              </w:rPr>
              <w:t>Carcasi</w:t>
            </w:r>
            <w:proofErr w:type="spellEnd"/>
            <w:r w:rsidRPr="00AF79CE">
              <w:rPr>
                <w:rFonts w:cs="Arial"/>
                <w:b w:val="0"/>
                <w:sz w:val="20"/>
                <w:szCs w:val="20"/>
                <w:lang w:val="es-ES"/>
              </w:rPr>
              <w:t xml:space="preserve"> y San Pablo; los caños Morrocoy, Vélez, Montañitas, Blanco, Iguana, Dulce, Patico, Picho, Látigo, Pato, Dorada, </w:t>
            </w:r>
            <w:r w:rsidRPr="00AF79CE">
              <w:rPr>
                <w:rFonts w:cs="Arial"/>
                <w:b w:val="0"/>
                <w:sz w:val="20"/>
                <w:szCs w:val="20"/>
                <w:lang w:val="es-ES"/>
              </w:rPr>
              <w:lastRenderedPageBreak/>
              <w:t xml:space="preserve">Tres, Villa, Aguablanca, La </w:t>
            </w:r>
            <w:proofErr w:type="spellStart"/>
            <w:r w:rsidRPr="00AF79CE">
              <w:rPr>
                <w:rFonts w:cs="Arial"/>
                <w:b w:val="0"/>
                <w:sz w:val="20"/>
                <w:szCs w:val="20"/>
                <w:lang w:val="es-ES"/>
              </w:rPr>
              <w:t>Payoa</w:t>
            </w:r>
            <w:proofErr w:type="spellEnd"/>
            <w:r w:rsidRPr="00AF79CE">
              <w:rPr>
                <w:rFonts w:cs="Arial"/>
                <w:b w:val="0"/>
                <w:sz w:val="20"/>
                <w:szCs w:val="20"/>
                <w:lang w:val="es-ES"/>
              </w:rPr>
              <w:t xml:space="preserve">, Colepato, Hormigas, Diez, de Los Altares, León, Seis, Culebra, </w:t>
            </w:r>
            <w:proofErr w:type="spellStart"/>
            <w:r w:rsidRPr="00AF79CE">
              <w:rPr>
                <w:rFonts w:cs="Arial"/>
                <w:b w:val="0"/>
                <w:sz w:val="20"/>
                <w:szCs w:val="20"/>
                <w:lang w:val="es-ES"/>
              </w:rPr>
              <w:t>Simunica</w:t>
            </w:r>
            <w:proofErr w:type="spellEnd"/>
            <w:r w:rsidRPr="00AF79CE">
              <w:rPr>
                <w:rFonts w:cs="Arial"/>
                <w:b w:val="0"/>
                <w:sz w:val="20"/>
                <w:szCs w:val="20"/>
                <w:lang w:val="es-ES"/>
              </w:rPr>
              <w:t xml:space="preserve">, Siete, Abejas, Simití, Monte Oscuro, </w:t>
            </w:r>
            <w:proofErr w:type="spellStart"/>
            <w:r w:rsidRPr="00AF79CE">
              <w:rPr>
                <w:rFonts w:cs="Arial"/>
                <w:b w:val="0"/>
                <w:sz w:val="20"/>
                <w:szCs w:val="20"/>
                <w:lang w:val="es-ES"/>
              </w:rPr>
              <w:t>Corcobado</w:t>
            </w:r>
            <w:proofErr w:type="spellEnd"/>
            <w:r w:rsidRPr="00AF79CE">
              <w:rPr>
                <w:rFonts w:cs="Arial"/>
                <w:b w:val="0"/>
                <w:sz w:val="20"/>
                <w:szCs w:val="20"/>
                <w:lang w:val="es-ES"/>
              </w:rPr>
              <w:t xml:space="preserve">, </w:t>
            </w:r>
            <w:proofErr w:type="spellStart"/>
            <w:r w:rsidRPr="00AF79CE">
              <w:rPr>
                <w:rFonts w:cs="Arial"/>
                <w:b w:val="0"/>
                <w:sz w:val="20"/>
                <w:szCs w:val="20"/>
                <w:lang w:val="es-ES"/>
              </w:rPr>
              <w:t>Confiaza</w:t>
            </w:r>
            <w:proofErr w:type="spellEnd"/>
            <w:r w:rsidRPr="00AF79CE">
              <w:rPr>
                <w:rFonts w:cs="Arial"/>
                <w:b w:val="0"/>
                <w:sz w:val="20"/>
                <w:szCs w:val="20"/>
                <w:lang w:val="es-ES"/>
              </w:rPr>
              <w:t xml:space="preserve">, Yuca, León, </w:t>
            </w:r>
            <w:proofErr w:type="spellStart"/>
            <w:r w:rsidRPr="00AF79CE">
              <w:rPr>
                <w:rFonts w:cs="Arial"/>
                <w:b w:val="0"/>
                <w:sz w:val="20"/>
                <w:szCs w:val="20"/>
                <w:lang w:val="es-ES"/>
              </w:rPr>
              <w:t>Rumeca</w:t>
            </w:r>
            <w:proofErr w:type="spellEnd"/>
            <w:r w:rsidRPr="00AF79CE">
              <w:rPr>
                <w:rFonts w:cs="Arial"/>
                <w:b w:val="0"/>
                <w:sz w:val="20"/>
                <w:szCs w:val="20"/>
                <w:lang w:val="es-ES"/>
              </w:rPr>
              <w:t xml:space="preserve">, Playa Bonita, Azufre, El Tigre, </w:t>
            </w:r>
            <w:proofErr w:type="spellStart"/>
            <w:r w:rsidRPr="00AF79CE">
              <w:rPr>
                <w:rFonts w:cs="Arial"/>
                <w:b w:val="0"/>
                <w:sz w:val="20"/>
                <w:szCs w:val="20"/>
                <w:lang w:val="es-ES"/>
              </w:rPr>
              <w:t>Makenkle</w:t>
            </w:r>
            <w:proofErr w:type="spellEnd"/>
            <w:r w:rsidRPr="00AF79CE">
              <w:rPr>
                <w:rFonts w:cs="Arial"/>
                <w:b w:val="0"/>
                <w:sz w:val="20"/>
                <w:szCs w:val="20"/>
                <w:lang w:val="es-ES"/>
              </w:rPr>
              <w:t xml:space="preserve">, La Osa y las quebradas La </w:t>
            </w:r>
            <w:proofErr w:type="spellStart"/>
            <w:r w:rsidRPr="00AF79CE">
              <w:rPr>
                <w:rFonts w:cs="Arial"/>
                <w:b w:val="0"/>
                <w:sz w:val="20"/>
                <w:szCs w:val="20"/>
                <w:lang w:val="es-ES"/>
              </w:rPr>
              <w:t>Platanala</w:t>
            </w:r>
            <w:proofErr w:type="spellEnd"/>
            <w:r w:rsidRPr="00AF79CE">
              <w:rPr>
                <w:rFonts w:cs="Arial"/>
                <w:b w:val="0"/>
                <w:sz w:val="20"/>
                <w:szCs w:val="20"/>
                <w:lang w:val="es-ES"/>
              </w:rPr>
              <w:t xml:space="preserve">, La Tigra, Aguas Lindas, </w:t>
            </w:r>
            <w:proofErr w:type="spellStart"/>
            <w:r w:rsidRPr="00AF79CE">
              <w:rPr>
                <w:rFonts w:cs="Arial"/>
                <w:b w:val="0"/>
                <w:sz w:val="20"/>
                <w:szCs w:val="20"/>
                <w:lang w:val="es-ES"/>
              </w:rPr>
              <w:t>Payandé</w:t>
            </w:r>
            <w:proofErr w:type="spellEnd"/>
            <w:r w:rsidRPr="00AF79CE">
              <w:rPr>
                <w:rFonts w:cs="Arial"/>
                <w:b w:val="0"/>
                <w:sz w:val="20"/>
                <w:szCs w:val="20"/>
                <w:lang w:val="es-ES"/>
              </w:rPr>
              <w:t xml:space="preserve">, La </w:t>
            </w:r>
            <w:proofErr w:type="spellStart"/>
            <w:r w:rsidRPr="00AF79CE">
              <w:rPr>
                <w:rFonts w:cs="Arial"/>
                <w:b w:val="0"/>
                <w:sz w:val="20"/>
                <w:szCs w:val="20"/>
                <w:lang w:val="es-ES"/>
              </w:rPr>
              <w:t>Corcobada</w:t>
            </w:r>
            <w:proofErr w:type="spellEnd"/>
            <w:r w:rsidRPr="00AF79CE">
              <w:rPr>
                <w:rFonts w:cs="Arial"/>
                <w:b w:val="0"/>
                <w:sz w:val="20"/>
                <w:szCs w:val="20"/>
                <w:lang w:val="es-ES"/>
              </w:rPr>
              <w:t xml:space="preserve">, Tortugas, La Julia, Doradas, </w:t>
            </w:r>
            <w:proofErr w:type="spellStart"/>
            <w:r w:rsidRPr="00AF79CE">
              <w:rPr>
                <w:rFonts w:cs="Arial"/>
                <w:b w:val="0"/>
                <w:sz w:val="20"/>
                <w:szCs w:val="20"/>
                <w:lang w:val="es-ES"/>
              </w:rPr>
              <w:t>Comboyera</w:t>
            </w:r>
            <w:proofErr w:type="spellEnd"/>
            <w:r w:rsidRPr="00AF79CE">
              <w:rPr>
                <w:rFonts w:cs="Arial"/>
                <w:b w:val="0"/>
                <w:sz w:val="20"/>
                <w:szCs w:val="20"/>
                <w:lang w:val="es-ES"/>
              </w:rPr>
              <w:t xml:space="preserve">, </w:t>
            </w:r>
            <w:proofErr w:type="spellStart"/>
            <w:r w:rsidRPr="00AF79CE">
              <w:rPr>
                <w:rFonts w:cs="Arial"/>
                <w:b w:val="0"/>
                <w:sz w:val="20"/>
                <w:szCs w:val="20"/>
                <w:lang w:val="es-ES"/>
              </w:rPr>
              <w:t>Gerias</w:t>
            </w:r>
            <w:proofErr w:type="spellEnd"/>
            <w:r w:rsidRPr="00AF79CE">
              <w:rPr>
                <w:rFonts w:cs="Arial"/>
                <w:b w:val="0"/>
                <w:sz w:val="20"/>
                <w:szCs w:val="20"/>
                <w:lang w:val="es-ES"/>
              </w:rPr>
              <w:t xml:space="preserve">, La </w:t>
            </w:r>
            <w:proofErr w:type="spellStart"/>
            <w:r w:rsidRPr="00AF79CE">
              <w:rPr>
                <w:rFonts w:cs="Arial"/>
                <w:b w:val="0"/>
                <w:sz w:val="20"/>
                <w:szCs w:val="20"/>
                <w:lang w:val="es-ES"/>
              </w:rPr>
              <w:t>Corcobada</w:t>
            </w:r>
            <w:proofErr w:type="spellEnd"/>
            <w:r w:rsidRPr="00AF79CE">
              <w:rPr>
                <w:rFonts w:cs="Arial"/>
                <w:b w:val="0"/>
                <w:sz w:val="20"/>
                <w:szCs w:val="20"/>
                <w:lang w:val="es-ES"/>
              </w:rPr>
              <w:t xml:space="preserve">, El Rumbón, La Rinconada, La Toquera, La Providencia, Las Cruces, La Vega, Caño Cable, La Robada, La Sardina, </w:t>
            </w:r>
            <w:proofErr w:type="spellStart"/>
            <w:r w:rsidRPr="00AF79CE">
              <w:rPr>
                <w:rFonts w:cs="Arial"/>
                <w:b w:val="0"/>
                <w:sz w:val="20"/>
                <w:szCs w:val="20"/>
                <w:lang w:val="es-ES"/>
              </w:rPr>
              <w:t>Chorrerón</w:t>
            </w:r>
            <w:proofErr w:type="spellEnd"/>
            <w:r w:rsidRPr="00AF79CE">
              <w:rPr>
                <w:rFonts w:cs="Arial"/>
                <w:b w:val="0"/>
                <w:sz w:val="20"/>
                <w:szCs w:val="20"/>
                <w:lang w:val="es-ES"/>
              </w:rPr>
              <w:t>, La Perdiz. De esta manera, presenta una extensión de 7425,69 ha, aproximadamente un 3,85% del total del área de la cuenca.</w:t>
            </w:r>
          </w:p>
          <w:p w14:paraId="5A07A378" w14:textId="77777777" w:rsidR="00AF79CE" w:rsidRPr="00AF79CE" w:rsidRDefault="00AF79CE" w:rsidP="00AF79CE">
            <w:pPr>
              <w:jc w:val="both"/>
              <w:rPr>
                <w:rFonts w:cs="Arial"/>
                <w:b w:val="0"/>
                <w:sz w:val="20"/>
                <w:szCs w:val="20"/>
                <w:lang w:val="es-ES"/>
              </w:rPr>
            </w:pPr>
          </w:p>
          <w:p w14:paraId="72171486" w14:textId="77777777" w:rsidR="00AF79CE" w:rsidRPr="00AF79CE" w:rsidRDefault="00AF79CE" w:rsidP="00AF79CE">
            <w:pPr>
              <w:jc w:val="both"/>
              <w:rPr>
                <w:rFonts w:cs="Arial"/>
                <w:b w:val="0"/>
                <w:sz w:val="20"/>
                <w:szCs w:val="20"/>
                <w:lang w:val="es-ES"/>
              </w:rPr>
            </w:pPr>
            <w:r w:rsidRPr="00AF79CE">
              <w:rPr>
                <w:rFonts w:cs="Arial"/>
                <w:b w:val="0"/>
                <w:sz w:val="20"/>
                <w:szCs w:val="20"/>
                <w:lang w:val="es-ES"/>
              </w:rPr>
              <w:t xml:space="preserve">Se encuentran ubicados en el municipio de Sabana de Torres en las veredas de Aguas Negras, Barranco Colorado, Magara, Cruce Robledo, Doradas y Mata de Piña; en el municipio de Rionegro en las veredas Consulta, Salina, </w:t>
            </w:r>
            <w:proofErr w:type="spellStart"/>
            <w:r w:rsidRPr="00AF79CE">
              <w:rPr>
                <w:rFonts w:cs="Arial"/>
                <w:b w:val="0"/>
                <w:sz w:val="20"/>
                <w:szCs w:val="20"/>
                <w:lang w:val="es-ES"/>
              </w:rPr>
              <w:t>Muzanda</w:t>
            </w:r>
            <w:proofErr w:type="spellEnd"/>
            <w:r w:rsidRPr="00AF79CE">
              <w:rPr>
                <w:rFonts w:cs="Arial"/>
                <w:b w:val="0"/>
                <w:sz w:val="20"/>
                <w:szCs w:val="20"/>
                <w:lang w:val="es-ES"/>
              </w:rPr>
              <w:t xml:space="preserve"> Baja, Victoria, entre otras; en el municipio La Esperanza en las veredas Meseta de vaca, </w:t>
            </w:r>
            <w:proofErr w:type="spellStart"/>
            <w:r w:rsidRPr="00AF79CE">
              <w:rPr>
                <w:rFonts w:cs="Arial"/>
                <w:b w:val="0"/>
                <w:sz w:val="20"/>
                <w:szCs w:val="20"/>
                <w:lang w:val="es-ES"/>
              </w:rPr>
              <w:t>Otovas</w:t>
            </w:r>
            <w:proofErr w:type="spellEnd"/>
            <w:r w:rsidRPr="00AF79CE">
              <w:rPr>
                <w:rFonts w:cs="Arial"/>
                <w:b w:val="0"/>
                <w:sz w:val="20"/>
                <w:szCs w:val="20"/>
                <w:lang w:val="es-ES"/>
              </w:rPr>
              <w:t>, Providencia, Palmas, entre otras; en el municipio de Lebrija en las vereda Montevideo; en el municipio de Ábrego en las veredas Nuevo Sol y Páramo y en el municipio de Cáchira, en las veredas Tablazo, Alto La Lora, Tierra Grata, San José de la Laguna, entre otras.</w:t>
            </w:r>
          </w:p>
          <w:p w14:paraId="60F0ADD2" w14:textId="77777777" w:rsidR="00AF79CE" w:rsidRPr="00AF79CE" w:rsidRDefault="00AF79CE" w:rsidP="00AF79CE">
            <w:pPr>
              <w:jc w:val="both"/>
              <w:rPr>
                <w:rFonts w:cs="Arial"/>
                <w:b w:val="0"/>
                <w:sz w:val="20"/>
                <w:szCs w:val="20"/>
                <w:lang w:val="es-ES"/>
              </w:rPr>
            </w:pPr>
          </w:p>
          <w:p w14:paraId="0C493FF6" w14:textId="77777777" w:rsidR="00AF79CE" w:rsidRPr="00AF79CE" w:rsidRDefault="00AF79CE" w:rsidP="00AF79CE">
            <w:pPr>
              <w:jc w:val="both"/>
              <w:rPr>
                <w:rFonts w:cs="Arial"/>
                <w:b w:val="0"/>
                <w:sz w:val="20"/>
                <w:szCs w:val="20"/>
                <w:u w:val="single"/>
                <w:lang w:val="es-ES"/>
              </w:rPr>
            </w:pPr>
            <w:r w:rsidRPr="00AF79CE">
              <w:rPr>
                <w:rFonts w:cs="Arial"/>
                <w:b w:val="0"/>
                <w:sz w:val="20"/>
                <w:szCs w:val="20"/>
                <w:u w:val="single"/>
                <w:lang w:val="es-ES"/>
              </w:rPr>
              <w:t xml:space="preserve">Bosque Húmedo Tropical </w:t>
            </w:r>
            <w:proofErr w:type="spellStart"/>
            <w:r w:rsidRPr="00AF79CE">
              <w:rPr>
                <w:rFonts w:cs="Arial"/>
                <w:b w:val="0"/>
                <w:sz w:val="20"/>
                <w:szCs w:val="20"/>
                <w:u w:val="single"/>
                <w:lang w:val="es-ES"/>
              </w:rPr>
              <w:t>Relictual</w:t>
            </w:r>
            <w:proofErr w:type="spellEnd"/>
          </w:p>
          <w:p w14:paraId="71277EB4" w14:textId="77777777" w:rsidR="00AF79CE" w:rsidRPr="00AF79CE" w:rsidRDefault="00AF79CE" w:rsidP="00AF79CE">
            <w:pPr>
              <w:jc w:val="both"/>
              <w:rPr>
                <w:rFonts w:cs="Arial"/>
                <w:b w:val="0"/>
                <w:sz w:val="20"/>
                <w:szCs w:val="20"/>
                <w:lang w:val="es-ES"/>
              </w:rPr>
            </w:pPr>
          </w:p>
          <w:p w14:paraId="1334C464" w14:textId="77777777" w:rsidR="00AF79CE" w:rsidRPr="00AF79CE" w:rsidRDefault="00AF79CE" w:rsidP="00AF79CE">
            <w:pPr>
              <w:jc w:val="both"/>
              <w:rPr>
                <w:rFonts w:cs="Arial"/>
                <w:b w:val="0"/>
                <w:sz w:val="20"/>
                <w:szCs w:val="20"/>
                <w:lang w:val="es-ES"/>
              </w:rPr>
            </w:pPr>
            <w:r w:rsidRPr="00AF79CE">
              <w:rPr>
                <w:rFonts w:cs="Arial"/>
                <w:b w:val="0"/>
                <w:sz w:val="20"/>
                <w:szCs w:val="20"/>
                <w:lang w:val="es-ES"/>
              </w:rPr>
              <w:t xml:space="preserve">La extensión del </w:t>
            </w:r>
            <w:proofErr w:type="spellStart"/>
            <w:r w:rsidRPr="00AF79CE">
              <w:rPr>
                <w:rFonts w:cs="Arial"/>
                <w:b w:val="0"/>
                <w:sz w:val="20"/>
                <w:szCs w:val="20"/>
                <w:lang w:val="es-ES"/>
              </w:rPr>
              <w:t>bh</w:t>
            </w:r>
            <w:proofErr w:type="spellEnd"/>
            <w:r w:rsidRPr="00AF79CE">
              <w:rPr>
                <w:rFonts w:cs="Arial"/>
                <w:b w:val="0"/>
                <w:sz w:val="20"/>
                <w:szCs w:val="20"/>
                <w:lang w:val="es-ES"/>
              </w:rPr>
              <w:t>-T en Colombia es de 415.000 km² (Etter 1993) lo cual equivale al 36.5% del territorio nacional. Este tipo de bosque se distribuye a través de las principales regiones biogeográficas del país, como lo son las tierras bajas del Pacífico o Chocó Biogeográfico (con cerca de 4.600.000 ha) la Amazonía y algunos sectores de la Orinoquia (con cerca de 36.400.000 ha) y las estribaciones de los Andes, en los valles medios de los ríos Magdalena y Sinú, en los valles bajos de los ríos Cauca y San Jorge y en la cuenca del río Catatumbo (con cerca de 1.650.000 ha) (</w:t>
            </w:r>
            <w:proofErr w:type="spellStart"/>
            <w:r w:rsidRPr="00AF79CE">
              <w:rPr>
                <w:rFonts w:cs="Arial"/>
                <w:b w:val="0"/>
                <w:sz w:val="20"/>
                <w:szCs w:val="20"/>
                <w:lang w:val="es-ES"/>
              </w:rPr>
              <w:t>IAvH</w:t>
            </w:r>
            <w:proofErr w:type="spellEnd"/>
            <w:r w:rsidRPr="00AF79CE">
              <w:rPr>
                <w:rFonts w:cs="Arial"/>
                <w:b w:val="0"/>
                <w:sz w:val="20"/>
                <w:szCs w:val="20"/>
                <w:lang w:val="es-ES"/>
              </w:rPr>
              <w:t xml:space="preserve"> 1997).</w:t>
            </w:r>
          </w:p>
          <w:p w14:paraId="6A5EF3B0" w14:textId="77777777" w:rsidR="00AF79CE" w:rsidRPr="00AF79CE" w:rsidRDefault="00AF79CE" w:rsidP="00AF79CE">
            <w:pPr>
              <w:jc w:val="both"/>
              <w:rPr>
                <w:rFonts w:cs="Arial"/>
                <w:b w:val="0"/>
                <w:sz w:val="20"/>
                <w:szCs w:val="20"/>
                <w:lang w:val="es-ES"/>
              </w:rPr>
            </w:pPr>
          </w:p>
          <w:p w14:paraId="57B78C17" w14:textId="77777777" w:rsidR="00AF79CE" w:rsidRPr="00AF79CE" w:rsidRDefault="00AF79CE" w:rsidP="00AF79CE">
            <w:pPr>
              <w:jc w:val="both"/>
              <w:rPr>
                <w:rFonts w:cs="Arial"/>
                <w:b w:val="0"/>
                <w:sz w:val="20"/>
                <w:szCs w:val="20"/>
                <w:lang w:val="es-ES"/>
              </w:rPr>
            </w:pPr>
            <w:r w:rsidRPr="00AF79CE">
              <w:rPr>
                <w:rFonts w:cs="Arial"/>
                <w:b w:val="0"/>
                <w:sz w:val="20"/>
                <w:szCs w:val="20"/>
                <w:lang w:val="es-ES"/>
              </w:rPr>
              <w:t xml:space="preserve">En la cuenca Lebrija medio, este bosque se considera que se ubica en las cotas inferiores a 1000 msnm y ocupa una extensión 27494,40 ha que corresponde al 14,25% del área total de la cuenca. Se encuentra en el municipio Cáchira en las veredas Alto la Lora, Corcovada, </w:t>
            </w:r>
            <w:proofErr w:type="spellStart"/>
            <w:r w:rsidRPr="00AF79CE">
              <w:rPr>
                <w:rFonts w:cs="Arial"/>
                <w:b w:val="0"/>
                <w:sz w:val="20"/>
                <w:szCs w:val="20"/>
                <w:lang w:val="es-ES"/>
              </w:rPr>
              <w:t>Crito</w:t>
            </w:r>
            <w:proofErr w:type="spellEnd"/>
            <w:r w:rsidRPr="00AF79CE">
              <w:rPr>
                <w:rFonts w:cs="Arial"/>
                <w:b w:val="0"/>
                <w:sz w:val="20"/>
                <w:szCs w:val="20"/>
                <w:lang w:val="es-ES"/>
              </w:rPr>
              <w:t xml:space="preserve"> Rey, Tablazo, Sardina, entre otras; en el municipio La Esperanza en las veredas Abedul, Ciénaga, </w:t>
            </w:r>
            <w:proofErr w:type="spellStart"/>
            <w:r w:rsidRPr="00AF79CE">
              <w:rPr>
                <w:rFonts w:cs="Arial"/>
                <w:b w:val="0"/>
                <w:sz w:val="20"/>
                <w:szCs w:val="20"/>
                <w:lang w:val="es-ES"/>
              </w:rPr>
              <w:t>Carraño</w:t>
            </w:r>
            <w:proofErr w:type="spellEnd"/>
            <w:r w:rsidRPr="00AF79CE">
              <w:rPr>
                <w:rFonts w:cs="Arial"/>
                <w:b w:val="0"/>
                <w:sz w:val="20"/>
                <w:szCs w:val="20"/>
                <w:lang w:val="es-ES"/>
              </w:rPr>
              <w:t xml:space="preserve">, Niebla, Sirena, entre otras; en el municipio El Playón en las veredas </w:t>
            </w:r>
            <w:proofErr w:type="spellStart"/>
            <w:r w:rsidRPr="00AF79CE">
              <w:rPr>
                <w:rFonts w:cs="Arial"/>
                <w:b w:val="0"/>
                <w:sz w:val="20"/>
                <w:szCs w:val="20"/>
                <w:lang w:val="es-ES"/>
              </w:rPr>
              <w:t>Arrumbazón</w:t>
            </w:r>
            <w:proofErr w:type="spellEnd"/>
            <w:r w:rsidRPr="00AF79CE">
              <w:rPr>
                <w:rFonts w:cs="Arial"/>
                <w:b w:val="0"/>
                <w:sz w:val="20"/>
                <w:szCs w:val="20"/>
                <w:lang w:val="es-ES"/>
              </w:rPr>
              <w:t xml:space="preserve">, </w:t>
            </w:r>
            <w:proofErr w:type="spellStart"/>
            <w:r w:rsidRPr="00AF79CE">
              <w:rPr>
                <w:rFonts w:cs="Arial"/>
                <w:b w:val="0"/>
                <w:sz w:val="20"/>
                <w:szCs w:val="20"/>
                <w:lang w:val="es-ES"/>
              </w:rPr>
              <w:t>Huchaderos</w:t>
            </w:r>
            <w:proofErr w:type="spellEnd"/>
            <w:r w:rsidRPr="00AF79CE">
              <w:rPr>
                <w:rFonts w:cs="Arial"/>
                <w:b w:val="0"/>
                <w:sz w:val="20"/>
                <w:szCs w:val="20"/>
                <w:lang w:val="es-ES"/>
              </w:rPr>
              <w:t xml:space="preserve"> y corregimiento Bocas del Rosario; en el municipio Lebrija en la vereda Vanegas; en el municipio Puerto Wilches en el corregimiento Bocas del Rosario; en el municipio Rionegro en las veredas </w:t>
            </w:r>
            <w:proofErr w:type="spellStart"/>
            <w:r w:rsidRPr="00AF79CE">
              <w:rPr>
                <w:rFonts w:cs="Arial"/>
                <w:b w:val="0"/>
                <w:sz w:val="20"/>
                <w:szCs w:val="20"/>
                <w:lang w:val="es-ES"/>
              </w:rPr>
              <w:t>Aguablana</w:t>
            </w:r>
            <w:proofErr w:type="spellEnd"/>
            <w:r w:rsidRPr="00AF79CE">
              <w:rPr>
                <w:rFonts w:cs="Arial"/>
                <w:b w:val="0"/>
                <w:sz w:val="20"/>
                <w:szCs w:val="20"/>
                <w:lang w:val="es-ES"/>
              </w:rPr>
              <w:t xml:space="preserve">, Caño Siete, Catatumbo, Corcovada, </w:t>
            </w:r>
            <w:proofErr w:type="spellStart"/>
            <w:r w:rsidRPr="00AF79CE">
              <w:rPr>
                <w:rFonts w:cs="Arial"/>
                <w:b w:val="0"/>
                <w:sz w:val="20"/>
                <w:szCs w:val="20"/>
                <w:lang w:val="es-ES"/>
              </w:rPr>
              <w:t>Huchaderos</w:t>
            </w:r>
            <w:proofErr w:type="spellEnd"/>
            <w:r w:rsidRPr="00AF79CE">
              <w:rPr>
                <w:rFonts w:cs="Arial"/>
                <w:b w:val="0"/>
                <w:sz w:val="20"/>
                <w:szCs w:val="20"/>
                <w:lang w:val="es-ES"/>
              </w:rPr>
              <w:t>, entre otras y en el municipio Sabana de Torres en las veredas Barranco Colorado, Doradas, Canelo, Robada, entre otras.</w:t>
            </w:r>
          </w:p>
          <w:p w14:paraId="37863070" w14:textId="77777777" w:rsidR="00AF79CE" w:rsidRPr="00AF79CE" w:rsidRDefault="00AF79CE" w:rsidP="00AF79CE">
            <w:pPr>
              <w:jc w:val="both"/>
              <w:rPr>
                <w:rFonts w:cs="Arial"/>
                <w:b w:val="0"/>
                <w:sz w:val="20"/>
                <w:szCs w:val="20"/>
                <w:lang w:val="es-ES"/>
              </w:rPr>
            </w:pPr>
          </w:p>
          <w:p w14:paraId="31FD099C" w14:textId="77777777" w:rsidR="00AF79CE" w:rsidRPr="00AF79CE" w:rsidRDefault="00AF79CE" w:rsidP="00AF79CE">
            <w:pPr>
              <w:jc w:val="both"/>
              <w:rPr>
                <w:rFonts w:cs="Arial"/>
                <w:b w:val="0"/>
                <w:sz w:val="20"/>
                <w:szCs w:val="20"/>
                <w:lang w:val="es-ES"/>
              </w:rPr>
            </w:pPr>
            <w:r w:rsidRPr="00AF79CE">
              <w:rPr>
                <w:rFonts w:cs="Arial"/>
                <w:b w:val="0"/>
                <w:sz w:val="20"/>
                <w:szCs w:val="20"/>
                <w:lang w:val="es-ES"/>
              </w:rPr>
              <w:t xml:space="preserve">En el documento técnico se presenta la especialización de estos bosques </w:t>
            </w:r>
            <w:proofErr w:type="spellStart"/>
            <w:r w:rsidRPr="00AF79CE">
              <w:rPr>
                <w:rFonts w:cs="Arial"/>
                <w:b w:val="0"/>
                <w:sz w:val="20"/>
                <w:szCs w:val="20"/>
                <w:lang w:val="es-ES"/>
              </w:rPr>
              <w:t>relictuales</w:t>
            </w:r>
            <w:proofErr w:type="spellEnd"/>
            <w:r w:rsidRPr="00AF79CE">
              <w:rPr>
                <w:rFonts w:cs="Arial"/>
                <w:b w:val="0"/>
                <w:sz w:val="20"/>
                <w:szCs w:val="20"/>
                <w:lang w:val="es-ES"/>
              </w:rPr>
              <w:t xml:space="preserve"> dentro de la cuenca de Lebrija Medio que representan una extensión del 33,54% de toda su área. Es importante precisar que la identificación de estas áreas se realizó con imágenes satelitales </w:t>
            </w:r>
            <w:proofErr w:type="spellStart"/>
            <w:r w:rsidRPr="00AF79CE">
              <w:rPr>
                <w:rFonts w:cs="Arial"/>
                <w:b w:val="0"/>
                <w:sz w:val="20"/>
                <w:szCs w:val="20"/>
                <w:lang w:val="es-ES"/>
              </w:rPr>
              <w:t>Sentinel</w:t>
            </w:r>
            <w:proofErr w:type="spellEnd"/>
            <w:r w:rsidRPr="00AF79CE">
              <w:rPr>
                <w:rFonts w:cs="Arial"/>
                <w:b w:val="0"/>
                <w:sz w:val="20"/>
                <w:szCs w:val="20"/>
                <w:lang w:val="es-ES"/>
              </w:rPr>
              <w:t xml:space="preserve"> 2A resolución de 10m, de fecha de enero del 2017, y en las zonas en donde estas presentaban alta nubosidad se utilizó una de Julio del 2016, con lo cual se establecieron estos ecosistemas a escala 1:25000, por lo cual se recomienda realizar estudios de mayor detalle con imágenes satelitales de mayor resolución y con temporalidad reciente, con el fin de que se garantice la correcta identificación y caracterización de estos bosques al momento de que se requieran establecer los usos sobre estas áreas y se requieran autorizar actividades diferentes a la conservación.</w:t>
            </w:r>
          </w:p>
        </w:tc>
      </w:tr>
      <w:tr w:rsidR="00AF79CE" w:rsidRPr="00AF79CE" w14:paraId="708F3486" w14:textId="77777777" w:rsidTr="00F54454">
        <w:trPr>
          <w:jc w:val="center"/>
        </w:trPr>
        <w:tc>
          <w:tcPr>
            <w:tcW w:w="9351" w:type="dxa"/>
            <w:vAlign w:val="center"/>
          </w:tcPr>
          <w:p w14:paraId="29991389" w14:textId="77777777" w:rsidR="00AF79CE" w:rsidRPr="00AF79CE" w:rsidRDefault="00AF79CE" w:rsidP="00AF79CE">
            <w:pPr>
              <w:jc w:val="both"/>
              <w:rPr>
                <w:rFonts w:cs="Arial"/>
                <w:b w:val="0"/>
                <w:sz w:val="20"/>
                <w:szCs w:val="20"/>
                <w:u w:val="single"/>
                <w:lang w:val="es-ES"/>
              </w:rPr>
            </w:pPr>
            <w:r w:rsidRPr="00AF79CE">
              <w:rPr>
                <w:rFonts w:cs="Arial"/>
                <w:b w:val="0"/>
                <w:sz w:val="20"/>
                <w:szCs w:val="20"/>
                <w:u w:val="single"/>
                <w:lang w:val="es-ES"/>
              </w:rPr>
              <w:lastRenderedPageBreak/>
              <w:t>Áreas de Amenazas Naturales</w:t>
            </w:r>
          </w:p>
        </w:tc>
      </w:tr>
      <w:tr w:rsidR="00AF79CE" w:rsidRPr="00AF79CE" w14:paraId="202AAAD9" w14:textId="77777777" w:rsidTr="00F54454">
        <w:trPr>
          <w:jc w:val="center"/>
        </w:trPr>
        <w:tc>
          <w:tcPr>
            <w:tcW w:w="9351" w:type="dxa"/>
            <w:vAlign w:val="center"/>
          </w:tcPr>
          <w:p w14:paraId="40DEFD01" w14:textId="77777777" w:rsidR="00AF79CE" w:rsidRPr="00AF79CE" w:rsidRDefault="00AF79CE" w:rsidP="00AF79CE">
            <w:pPr>
              <w:jc w:val="both"/>
              <w:rPr>
                <w:rFonts w:cs="Arial"/>
                <w:b w:val="0"/>
                <w:sz w:val="20"/>
                <w:szCs w:val="20"/>
                <w:lang w:val="es-ES"/>
              </w:rPr>
            </w:pPr>
          </w:p>
          <w:tbl>
            <w:tblPr>
              <w:tblStyle w:val="Tablaconcuadrcula"/>
              <w:tblW w:w="0" w:type="auto"/>
              <w:jc w:val="center"/>
              <w:tblLook w:val="04A0" w:firstRow="1" w:lastRow="0" w:firstColumn="1" w:lastColumn="0" w:noHBand="0" w:noVBand="1"/>
            </w:tblPr>
            <w:tblGrid>
              <w:gridCol w:w="1243"/>
              <w:gridCol w:w="1396"/>
            </w:tblGrid>
            <w:tr w:rsidR="00AF79CE" w:rsidRPr="00AF79CE" w14:paraId="1930B6F3" w14:textId="77777777" w:rsidTr="00882749">
              <w:trPr>
                <w:trHeight w:val="284"/>
                <w:jc w:val="center"/>
              </w:trPr>
              <w:tc>
                <w:tcPr>
                  <w:tcW w:w="1243" w:type="dxa"/>
                  <w:vAlign w:val="center"/>
                </w:tcPr>
                <w:p w14:paraId="459CE0CF" w14:textId="77777777" w:rsidR="00AF79CE" w:rsidRPr="00AF79CE" w:rsidRDefault="00AF79CE" w:rsidP="00AF79CE">
                  <w:pPr>
                    <w:jc w:val="center"/>
                    <w:rPr>
                      <w:rFonts w:cs="Arial"/>
                      <w:b w:val="0"/>
                      <w:sz w:val="16"/>
                      <w:szCs w:val="16"/>
                      <w:lang w:val="es-ES"/>
                    </w:rPr>
                  </w:pPr>
                  <w:r w:rsidRPr="00AF79CE">
                    <w:rPr>
                      <w:rFonts w:cs="Arial"/>
                      <w:b w:val="0"/>
                      <w:sz w:val="16"/>
                      <w:szCs w:val="16"/>
                      <w:lang w:val="es-ES"/>
                    </w:rPr>
                    <w:t>SIMBOLO DT</w:t>
                  </w:r>
                </w:p>
              </w:tc>
              <w:tc>
                <w:tcPr>
                  <w:tcW w:w="1396" w:type="dxa"/>
                  <w:vAlign w:val="center"/>
                </w:tcPr>
                <w:p w14:paraId="2E69500C" w14:textId="77777777" w:rsidR="00AF79CE" w:rsidRPr="00AF79CE" w:rsidRDefault="00AF79CE" w:rsidP="00AF79CE">
                  <w:pPr>
                    <w:jc w:val="center"/>
                    <w:rPr>
                      <w:rFonts w:cs="Arial"/>
                      <w:b w:val="0"/>
                      <w:sz w:val="16"/>
                      <w:szCs w:val="16"/>
                      <w:lang w:val="es-ES"/>
                    </w:rPr>
                  </w:pPr>
                  <w:r w:rsidRPr="00AF79CE">
                    <w:rPr>
                      <w:rFonts w:cs="Arial"/>
                      <w:b w:val="0"/>
                      <w:sz w:val="16"/>
                      <w:szCs w:val="16"/>
                      <w:lang w:val="es-ES"/>
                    </w:rPr>
                    <w:t>SIMBOLO GDB</w:t>
                  </w:r>
                </w:p>
              </w:tc>
            </w:tr>
            <w:tr w:rsidR="00AF79CE" w:rsidRPr="00AF79CE" w14:paraId="137CC4B4" w14:textId="77777777" w:rsidTr="00882749">
              <w:trPr>
                <w:trHeight w:val="284"/>
                <w:jc w:val="center"/>
              </w:trPr>
              <w:tc>
                <w:tcPr>
                  <w:tcW w:w="1243" w:type="dxa"/>
                  <w:shd w:val="clear" w:color="auto" w:fill="FF0000"/>
                  <w:vAlign w:val="center"/>
                </w:tcPr>
                <w:p w14:paraId="7CE752E7" w14:textId="77777777" w:rsidR="00AF79CE" w:rsidRPr="00AF79CE" w:rsidRDefault="00AF79CE" w:rsidP="00AF79CE">
                  <w:pPr>
                    <w:jc w:val="center"/>
                    <w:rPr>
                      <w:rFonts w:cs="Arial"/>
                      <w:b w:val="0"/>
                      <w:sz w:val="16"/>
                      <w:szCs w:val="16"/>
                      <w:lang w:val="es-ES"/>
                    </w:rPr>
                  </w:pPr>
                  <w:r w:rsidRPr="00AF79CE">
                    <w:rPr>
                      <w:rFonts w:cs="Arial"/>
                      <w:b w:val="0"/>
                      <w:sz w:val="16"/>
                      <w:szCs w:val="16"/>
                      <w:lang w:val="es-ES"/>
                    </w:rPr>
                    <w:lastRenderedPageBreak/>
                    <w:t>C – 13</w:t>
                  </w:r>
                </w:p>
              </w:tc>
              <w:tc>
                <w:tcPr>
                  <w:tcW w:w="1396" w:type="dxa"/>
                  <w:shd w:val="clear" w:color="auto" w:fill="FF0000"/>
                  <w:vAlign w:val="center"/>
                </w:tcPr>
                <w:p w14:paraId="516464D3" w14:textId="77777777" w:rsidR="00AF79CE" w:rsidRPr="00AF79CE" w:rsidRDefault="00AF79CE" w:rsidP="00AF79CE">
                  <w:pPr>
                    <w:jc w:val="center"/>
                    <w:rPr>
                      <w:rFonts w:cs="Arial"/>
                      <w:b w:val="0"/>
                      <w:sz w:val="16"/>
                      <w:szCs w:val="16"/>
                      <w:lang w:val="es-ES"/>
                    </w:rPr>
                  </w:pPr>
                  <w:r w:rsidRPr="00AF79CE">
                    <w:rPr>
                      <w:rFonts w:cs="Arial"/>
                      <w:b w:val="0"/>
                      <w:sz w:val="16"/>
                      <w:szCs w:val="16"/>
                      <w:lang w:val="es-ES"/>
                    </w:rPr>
                    <w:t>AMN</w:t>
                  </w:r>
                </w:p>
              </w:tc>
            </w:tr>
          </w:tbl>
          <w:p w14:paraId="3492DCE5" w14:textId="77777777" w:rsidR="00AF79CE" w:rsidRPr="00AF79CE" w:rsidRDefault="00AF79CE" w:rsidP="00AF79CE">
            <w:pPr>
              <w:jc w:val="both"/>
              <w:rPr>
                <w:rFonts w:cs="Arial"/>
                <w:b w:val="0"/>
                <w:sz w:val="20"/>
                <w:szCs w:val="20"/>
                <w:lang w:val="es-ES"/>
              </w:rPr>
            </w:pPr>
          </w:p>
          <w:p w14:paraId="01311D2E" w14:textId="77777777" w:rsidR="00AF79CE" w:rsidRPr="00AF79CE" w:rsidRDefault="00AF79CE" w:rsidP="00AF79CE">
            <w:pPr>
              <w:jc w:val="both"/>
              <w:rPr>
                <w:rFonts w:cs="Arial"/>
                <w:b w:val="0"/>
                <w:sz w:val="20"/>
                <w:szCs w:val="20"/>
                <w:lang w:val="es-ES"/>
              </w:rPr>
            </w:pPr>
            <w:r w:rsidRPr="00AF79CE">
              <w:rPr>
                <w:rFonts w:cs="Arial"/>
                <w:b w:val="0"/>
                <w:sz w:val="20"/>
                <w:szCs w:val="20"/>
                <w:lang w:val="es-ES"/>
              </w:rPr>
              <w:t>Corresponde a zonas que presentan amenazas naturales altas a movimientos en masa, inundaciones y/o avenidas torrenciales las cuales se definieron en la fase de Diagnóstico y que se categorizan dentro de las áreas de importancia ambiental ya que requieren la implementación de medidas de manejo que conlleven a la prevención y mitigación de estas amenazas. Como resultado de la zonificación se incorporaron 32515,22 ha en esta categoría, representando el 16,86% del área total de la cuenca.</w:t>
            </w:r>
          </w:p>
          <w:p w14:paraId="543914F9" w14:textId="77777777" w:rsidR="00AF79CE" w:rsidRPr="00AF79CE" w:rsidRDefault="00AF79CE" w:rsidP="00AF79CE">
            <w:pPr>
              <w:jc w:val="both"/>
              <w:rPr>
                <w:rFonts w:cs="Arial"/>
                <w:b w:val="0"/>
                <w:sz w:val="20"/>
                <w:szCs w:val="20"/>
                <w:lang w:val="es-ES"/>
              </w:rPr>
            </w:pPr>
          </w:p>
          <w:p w14:paraId="2CE67531" w14:textId="77777777" w:rsidR="00AF79CE" w:rsidRPr="00AF79CE" w:rsidRDefault="00AF79CE" w:rsidP="00AF79CE">
            <w:pPr>
              <w:jc w:val="both"/>
              <w:rPr>
                <w:rFonts w:cs="Arial"/>
                <w:b w:val="0"/>
                <w:sz w:val="20"/>
                <w:szCs w:val="20"/>
                <w:lang w:val="es-ES"/>
              </w:rPr>
            </w:pPr>
            <w:r w:rsidRPr="00AF79CE">
              <w:rPr>
                <w:rFonts w:cs="Arial"/>
                <w:b w:val="0"/>
                <w:sz w:val="20"/>
                <w:szCs w:val="20"/>
                <w:lang w:val="es-ES"/>
              </w:rPr>
              <w:t>Se recomienda tanto a los entes territoriales como a los demás actores de la cuenca, que presenten estudios de mayor detalle que garanticen la precisión en cuanto su delimitación y grado de amenaza, para determinar los usos sobre estas áreas, la reubicación de asentamientos humanos que se puedan encontrar en riesgo y el establecimiento de programas de control y prevención e implementación medidas de manejo de mitigación para cualquier actividad productiva con fines diferentes a la conservación en estas áreas.</w:t>
            </w:r>
          </w:p>
        </w:tc>
      </w:tr>
      <w:tr w:rsidR="00AF79CE" w:rsidRPr="00AF79CE" w14:paraId="4DC70560" w14:textId="77777777" w:rsidTr="00F54454">
        <w:trPr>
          <w:jc w:val="center"/>
        </w:trPr>
        <w:tc>
          <w:tcPr>
            <w:tcW w:w="9351" w:type="dxa"/>
            <w:vAlign w:val="center"/>
          </w:tcPr>
          <w:p w14:paraId="12291994" w14:textId="77777777" w:rsidR="00AF79CE" w:rsidRPr="00AF79CE" w:rsidRDefault="00AF79CE" w:rsidP="00AF79CE">
            <w:pPr>
              <w:rPr>
                <w:rFonts w:cs="Arial"/>
                <w:bCs/>
                <w:sz w:val="20"/>
                <w:szCs w:val="20"/>
                <w:lang w:val="es-ES"/>
              </w:rPr>
            </w:pPr>
            <w:r w:rsidRPr="00AF79CE">
              <w:rPr>
                <w:rFonts w:cs="Arial"/>
                <w:bCs/>
                <w:sz w:val="20"/>
                <w:szCs w:val="20"/>
                <w:lang w:val="es-ES"/>
              </w:rPr>
              <w:lastRenderedPageBreak/>
              <w:t>CATEGORÍA DE USO MÚLTIPLE.</w:t>
            </w:r>
          </w:p>
        </w:tc>
      </w:tr>
      <w:tr w:rsidR="00AF79CE" w:rsidRPr="00AF79CE" w14:paraId="21FF16F8" w14:textId="77777777" w:rsidTr="00F54454">
        <w:trPr>
          <w:jc w:val="center"/>
        </w:trPr>
        <w:tc>
          <w:tcPr>
            <w:tcW w:w="9351" w:type="dxa"/>
            <w:vAlign w:val="center"/>
          </w:tcPr>
          <w:p w14:paraId="67262012" w14:textId="77777777" w:rsidR="00AF79CE" w:rsidRPr="00AF79CE" w:rsidRDefault="00AF79CE" w:rsidP="00AF79CE">
            <w:pPr>
              <w:jc w:val="both"/>
              <w:rPr>
                <w:rFonts w:cs="Arial"/>
                <w:b w:val="0"/>
                <w:sz w:val="20"/>
                <w:szCs w:val="20"/>
                <w:lang w:val="es-ES"/>
              </w:rPr>
            </w:pPr>
          </w:p>
          <w:tbl>
            <w:tblPr>
              <w:tblW w:w="8689" w:type="dxa"/>
              <w:jc w:val="center"/>
              <w:tblCellMar>
                <w:left w:w="0" w:type="dxa"/>
                <w:right w:w="0" w:type="dxa"/>
              </w:tblCellMar>
              <w:tblLook w:val="04A0" w:firstRow="1" w:lastRow="0" w:firstColumn="1" w:lastColumn="0" w:noHBand="0" w:noVBand="1"/>
            </w:tblPr>
            <w:tblGrid>
              <w:gridCol w:w="1241"/>
              <w:gridCol w:w="1064"/>
              <w:gridCol w:w="1064"/>
              <w:gridCol w:w="1064"/>
              <w:gridCol w:w="1064"/>
              <w:gridCol w:w="1064"/>
              <w:gridCol w:w="1064"/>
              <w:gridCol w:w="1064"/>
            </w:tblGrid>
            <w:tr w:rsidR="00AF79CE" w:rsidRPr="00AF79CE" w14:paraId="144F5F83" w14:textId="77777777" w:rsidTr="00882749">
              <w:trPr>
                <w:trHeight w:val="284"/>
                <w:jc w:val="center"/>
              </w:trPr>
              <w:tc>
                <w:tcPr>
                  <w:tcW w:w="1241" w:type="dxa"/>
                  <w:tcBorders>
                    <w:top w:val="single" w:sz="4" w:space="0" w:color="auto"/>
                    <w:left w:val="single" w:sz="4" w:space="0" w:color="auto"/>
                    <w:bottom w:val="single" w:sz="4" w:space="0" w:color="auto"/>
                    <w:right w:val="single" w:sz="4" w:space="0" w:color="auto"/>
                  </w:tcBorders>
                  <w:noWrap/>
                  <w:vAlign w:val="center"/>
                  <w:hideMark/>
                </w:tcPr>
                <w:p w14:paraId="3CA93778" w14:textId="77777777" w:rsidR="00AF79CE" w:rsidRPr="00AF79CE" w:rsidRDefault="00AF79CE" w:rsidP="00AF79CE">
                  <w:pPr>
                    <w:jc w:val="center"/>
                    <w:rPr>
                      <w:rFonts w:eastAsia="Times New Roman" w:cs="Arial"/>
                      <w:bCs/>
                      <w:color w:val="000000"/>
                      <w:sz w:val="16"/>
                      <w:szCs w:val="16"/>
                      <w:lang w:val="es-ES" w:eastAsia="es-ES"/>
                    </w:rPr>
                  </w:pPr>
                  <w:r w:rsidRPr="00AF79CE">
                    <w:rPr>
                      <w:rFonts w:eastAsia="Times New Roman" w:cs="Arial"/>
                      <w:bCs/>
                      <w:color w:val="000000"/>
                      <w:sz w:val="16"/>
                      <w:szCs w:val="16"/>
                      <w:lang w:val="es-ES" w:eastAsia="es-ES"/>
                    </w:rPr>
                    <w:t>SIMBOLO DT</w:t>
                  </w:r>
                </w:p>
              </w:tc>
              <w:tc>
                <w:tcPr>
                  <w:tcW w:w="1064" w:type="dxa"/>
                  <w:tcBorders>
                    <w:top w:val="single" w:sz="4" w:space="0" w:color="auto"/>
                    <w:left w:val="nil"/>
                    <w:bottom w:val="single" w:sz="4" w:space="0" w:color="auto"/>
                    <w:right w:val="single" w:sz="4" w:space="0" w:color="auto"/>
                  </w:tcBorders>
                  <w:shd w:val="clear" w:color="000000" w:fill="FF7F7E"/>
                  <w:vAlign w:val="center"/>
                  <w:hideMark/>
                </w:tcPr>
                <w:p w14:paraId="42C1C3C5" w14:textId="77777777" w:rsidR="00AF79CE" w:rsidRPr="00AF79CE" w:rsidRDefault="00AF79CE" w:rsidP="00AF79CE">
                  <w:pPr>
                    <w:jc w:val="center"/>
                    <w:rPr>
                      <w:rFonts w:eastAsia="Times New Roman" w:cs="Arial"/>
                      <w:b w:val="0"/>
                      <w:color w:val="000000"/>
                      <w:sz w:val="16"/>
                      <w:szCs w:val="16"/>
                      <w:lang w:val="es-ES" w:eastAsia="es-ES"/>
                    </w:rPr>
                  </w:pPr>
                  <w:r w:rsidRPr="00AF79CE">
                    <w:rPr>
                      <w:rFonts w:eastAsia="Times New Roman" w:cs="Arial"/>
                      <w:b w:val="0"/>
                      <w:color w:val="000000"/>
                      <w:sz w:val="16"/>
                      <w:szCs w:val="16"/>
                      <w:lang w:val="es-ES" w:eastAsia="es-ES"/>
                    </w:rPr>
                    <w:t>M – 01</w:t>
                  </w:r>
                </w:p>
              </w:tc>
              <w:tc>
                <w:tcPr>
                  <w:tcW w:w="1064" w:type="dxa"/>
                  <w:tcBorders>
                    <w:top w:val="single" w:sz="4" w:space="0" w:color="auto"/>
                    <w:left w:val="nil"/>
                    <w:bottom w:val="single" w:sz="4" w:space="0" w:color="auto"/>
                    <w:right w:val="single" w:sz="4" w:space="0" w:color="auto"/>
                  </w:tcBorders>
                  <w:shd w:val="clear" w:color="000000" w:fill="A83800"/>
                  <w:vAlign w:val="center"/>
                  <w:hideMark/>
                </w:tcPr>
                <w:p w14:paraId="1E8039DB" w14:textId="77777777" w:rsidR="00AF79CE" w:rsidRPr="00AF79CE" w:rsidRDefault="00AF79CE" w:rsidP="00AF79CE">
                  <w:pPr>
                    <w:jc w:val="center"/>
                    <w:rPr>
                      <w:rFonts w:eastAsia="Times New Roman" w:cs="Arial"/>
                      <w:b w:val="0"/>
                      <w:color w:val="000000"/>
                      <w:sz w:val="16"/>
                      <w:szCs w:val="16"/>
                      <w:lang w:val="es-ES" w:eastAsia="es-ES"/>
                    </w:rPr>
                  </w:pPr>
                  <w:r w:rsidRPr="00AF79CE">
                    <w:rPr>
                      <w:rFonts w:eastAsia="Times New Roman" w:cs="Arial"/>
                      <w:b w:val="0"/>
                      <w:color w:val="000000"/>
                      <w:sz w:val="16"/>
                      <w:szCs w:val="16"/>
                      <w:lang w:val="es-ES" w:eastAsia="es-ES"/>
                    </w:rPr>
                    <w:t>M – 02</w:t>
                  </w:r>
                </w:p>
              </w:tc>
              <w:tc>
                <w:tcPr>
                  <w:tcW w:w="1064" w:type="dxa"/>
                  <w:tcBorders>
                    <w:top w:val="single" w:sz="4" w:space="0" w:color="auto"/>
                    <w:left w:val="nil"/>
                    <w:bottom w:val="single" w:sz="4" w:space="0" w:color="auto"/>
                    <w:right w:val="single" w:sz="4" w:space="0" w:color="auto"/>
                  </w:tcBorders>
                  <w:shd w:val="clear" w:color="000000" w:fill="FFAA00"/>
                  <w:vAlign w:val="center"/>
                  <w:hideMark/>
                </w:tcPr>
                <w:p w14:paraId="38383F81" w14:textId="77777777" w:rsidR="00AF79CE" w:rsidRPr="00AF79CE" w:rsidRDefault="00AF79CE" w:rsidP="00AF79CE">
                  <w:pPr>
                    <w:jc w:val="center"/>
                    <w:rPr>
                      <w:rFonts w:eastAsia="Times New Roman" w:cs="Arial"/>
                      <w:b w:val="0"/>
                      <w:color w:val="000000"/>
                      <w:sz w:val="16"/>
                      <w:szCs w:val="16"/>
                      <w:lang w:val="es-ES" w:eastAsia="es-ES"/>
                    </w:rPr>
                  </w:pPr>
                  <w:r w:rsidRPr="00AF79CE">
                    <w:rPr>
                      <w:rFonts w:eastAsia="Times New Roman" w:cs="Arial"/>
                      <w:b w:val="0"/>
                      <w:color w:val="000000"/>
                      <w:sz w:val="16"/>
                      <w:szCs w:val="16"/>
                      <w:lang w:val="es-ES" w:eastAsia="es-ES"/>
                    </w:rPr>
                    <w:t>M – 03</w:t>
                  </w:r>
                </w:p>
              </w:tc>
              <w:tc>
                <w:tcPr>
                  <w:tcW w:w="1064" w:type="dxa"/>
                  <w:tcBorders>
                    <w:top w:val="single" w:sz="4" w:space="0" w:color="auto"/>
                    <w:left w:val="nil"/>
                    <w:bottom w:val="single" w:sz="4" w:space="0" w:color="auto"/>
                    <w:right w:val="single" w:sz="4" w:space="0" w:color="auto"/>
                  </w:tcBorders>
                  <w:shd w:val="clear" w:color="000000" w:fill="FFFF00"/>
                  <w:vAlign w:val="center"/>
                  <w:hideMark/>
                </w:tcPr>
                <w:p w14:paraId="60E91380" w14:textId="77777777" w:rsidR="00AF79CE" w:rsidRPr="00AF79CE" w:rsidRDefault="00AF79CE" w:rsidP="00AF79CE">
                  <w:pPr>
                    <w:jc w:val="center"/>
                    <w:rPr>
                      <w:rFonts w:eastAsia="Times New Roman" w:cs="Arial"/>
                      <w:b w:val="0"/>
                      <w:color w:val="000000"/>
                      <w:sz w:val="16"/>
                      <w:szCs w:val="16"/>
                      <w:lang w:val="es-ES" w:eastAsia="es-ES"/>
                    </w:rPr>
                  </w:pPr>
                  <w:r w:rsidRPr="00AF79CE">
                    <w:rPr>
                      <w:rFonts w:eastAsia="Times New Roman" w:cs="Arial"/>
                      <w:b w:val="0"/>
                      <w:color w:val="000000"/>
                      <w:sz w:val="16"/>
                      <w:szCs w:val="16"/>
                      <w:lang w:val="es-ES" w:eastAsia="es-ES"/>
                    </w:rPr>
                    <w:t>M – 04</w:t>
                  </w:r>
                </w:p>
              </w:tc>
              <w:tc>
                <w:tcPr>
                  <w:tcW w:w="1064" w:type="dxa"/>
                  <w:tcBorders>
                    <w:top w:val="single" w:sz="4" w:space="0" w:color="auto"/>
                    <w:left w:val="nil"/>
                    <w:bottom w:val="single" w:sz="4" w:space="0" w:color="auto"/>
                    <w:right w:val="single" w:sz="4" w:space="0" w:color="auto"/>
                  </w:tcBorders>
                  <w:shd w:val="clear" w:color="000000" w:fill="A8A800"/>
                  <w:vAlign w:val="center"/>
                  <w:hideMark/>
                </w:tcPr>
                <w:p w14:paraId="689DF4F5" w14:textId="77777777" w:rsidR="00AF79CE" w:rsidRPr="00AF79CE" w:rsidRDefault="00AF79CE" w:rsidP="00AF79CE">
                  <w:pPr>
                    <w:jc w:val="center"/>
                    <w:rPr>
                      <w:rFonts w:eastAsia="Times New Roman" w:cs="Arial"/>
                      <w:b w:val="0"/>
                      <w:color w:val="000000"/>
                      <w:sz w:val="16"/>
                      <w:szCs w:val="16"/>
                      <w:lang w:val="es-ES" w:eastAsia="es-ES"/>
                    </w:rPr>
                  </w:pPr>
                  <w:r w:rsidRPr="00AF79CE">
                    <w:rPr>
                      <w:rFonts w:eastAsia="Times New Roman" w:cs="Arial"/>
                      <w:b w:val="0"/>
                      <w:color w:val="000000"/>
                      <w:sz w:val="16"/>
                      <w:szCs w:val="16"/>
                      <w:lang w:val="es-ES" w:eastAsia="es-ES"/>
                    </w:rPr>
                    <w:t>M – 05</w:t>
                  </w:r>
                </w:p>
              </w:tc>
              <w:tc>
                <w:tcPr>
                  <w:tcW w:w="1064" w:type="dxa"/>
                  <w:tcBorders>
                    <w:top w:val="single" w:sz="4" w:space="0" w:color="auto"/>
                    <w:left w:val="nil"/>
                    <w:bottom w:val="single" w:sz="4" w:space="0" w:color="auto"/>
                    <w:right w:val="single" w:sz="4" w:space="0" w:color="auto"/>
                  </w:tcBorders>
                  <w:shd w:val="clear" w:color="000000" w:fill="00E6A9"/>
                  <w:vAlign w:val="center"/>
                  <w:hideMark/>
                </w:tcPr>
                <w:p w14:paraId="0ECB4495" w14:textId="77777777" w:rsidR="00AF79CE" w:rsidRPr="00AF79CE" w:rsidRDefault="00AF79CE" w:rsidP="00AF79CE">
                  <w:pPr>
                    <w:jc w:val="center"/>
                    <w:rPr>
                      <w:rFonts w:eastAsia="Times New Roman" w:cs="Arial"/>
                      <w:b w:val="0"/>
                      <w:color w:val="000000"/>
                      <w:sz w:val="16"/>
                      <w:szCs w:val="16"/>
                      <w:lang w:val="es-ES" w:eastAsia="es-ES"/>
                    </w:rPr>
                  </w:pPr>
                  <w:r w:rsidRPr="00AF79CE">
                    <w:rPr>
                      <w:rFonts w:eastAsia="Times New Roman" w:cs="Arial"/>
                      <w:b w:val="0"/>
                      <w:color w:val="000000"/>
                      <w:sz w:val="16"/>
                      <w:szCs w:val="16"/>
                      <w:lang w:val="es-ES" w:eastAsia="es-ES"/>
                    </w:rPr>
                    <w:t>M – 06</w:t>
                  </w:r>
                </w:p>
              </w:tc>
              <w:tc>
                <w:tcPr>
                  <w:tcW w:w="1064" w:type="dxa"/>
                  <w:tcBorders>
                    <w:top w:val="single" w:sz="4" w:space="0" w:color="auto"/>
                    <w:left w:val="nil"/>
                    <w:bottom w:val="single" w:sz="4" w:space="0" w:color="auto"/>
                    <w:right w:val="single" w:sz="4" w:space="0" w:color="auto"/>
                  </w:tcBorders>
                  <w:shd w:val="clear" w:color="000000" w:fill="89CD66"/>
                  <w:vAlign w:val="center"/>
                  <w:hideMark/>
                </w:tcPr>
                <w:p w14:paraId="2712B8FC" w14:textId="77777777" w:rsidR="00AF79CE" w:rsidRPr="00AF79CE" w:rsidRDefault="00AF79CE" w:rsidP="00AF79CE">
                  <w:pPr>
                    <w:jc w:val="center"/>
                    <w:rPr>
                      <w:rFonts w:eastAsia="Times New Roman" w:cs="Arial"/>
                      <w:b w:val="0"/>
                      <w:color w:val="000000"/>
                      <w:sz w:val="16"/>
                      <w:szCs w:val="16"/>
                      <w:lang w:val="es-ES" w:eastAsia="es-ES"/>
                    </w:rPr>
                  </w:pPr>
                  <w:r w:rsidRPr="00AF79CE">
                    <w:rPr>
                      <w:rFonts w:eastAsia="Times New Roman" w:cs="Arial"/>
                      <w:b w:val="0"/>
                      <w:color w:val="000000"/>
                      <w:sz w:val="16"/>
                      <w:szCs w:val="16"/>
                      <w:lang w:val="es-ES" w:eastAsia="es-ES"/>
                    </w:rPr>
                    <w:t>M – 07</w:t>
                  </w:r>
                </w:p>
              </w:tc>
            </w:tr>
            <w:tr w:rsidR="00AF79CE" w:rsidRPr="00AF79CE" w14:paraId="070A0A92" w14:textId="77777777" w:rsidTr="00882749">
              <w:trPr>
                <w:trHeight w:val="284"/>
                <w:jc w:val="center"/>
              </w:trPr>
              <w:tc>
                <w:tcPr>
                  <w:tcW w:w="1241" w:type="dxa"/>
                  <w:tcBorders>
                    <w:top w:val="nil"/>
                    <w:left w:val="single" w:sz="4" w:space="0" w:color="auto"/>
                    <w:bottom w:val="single" w:sz="4" w:space="0" w:color="auto"/>
                    <w:right w:val="single" w:sz="4" w:space="0" w:color="auto"/>
                  </w:tcBorders>
                  <w:noWrap/>
                  <w:vAlign w:val="center"/>
                  <w:hideMark/>
                </w:tcPr>
                <w:p w14:paraId="440FCE66" w14:textId="77777777" w:rsidR="00AF79CE" w:rsidRPr="00AF79CE" w:rsidRDefault="00AF79CE" w:rsidP="00AF79CE">
                  <w:pPr>
                    <w:jc w:val="center"/>
                    <w:rPr>
                      <w:rFonts w:eastAsia="Times New Roman" w:cs="Arial"/>
                      <w:bCs/>
                      <w:color w:val="000000"/>
                      <w:sz w:val="16"/>
                      <w:szCs w:val="16"/>
                      <w:lang w:val="es-ES" w:eastAsia="es-ES"/>
                    </w:rPr>
                  </w:pPr>
                  <w:r w:rsidRPr="00AF79CE">
                    <w:rPr>
                      <w:rFonts w:eastAsia="Times New Roman" w:cs="Arial"/>
                      <w:bCs/>
                      <w:color w:val="000000"/>
                      <w:sz w:val="16"/>
                      <w:szCs w:val="16"/>
                      <w:lang w:val="es-ES" w:eastAsia="es-ES"/>
                    </w:rPr>
                    <w:t>SIMBOLO GDB</w:t>
                  </w:r>
                </w:p>
              </w:tc>
              <w:tc>
                <w:tcPr>
                  <w:tcW w:w="1064" w:type="dxa"/>
                  <w:tcBorders>
                    <w:top w:val="nil"/>
                    <w:left w:val="nil"/>
                    <w:bottom w:val="single" w:sz="4" w:space="0" w:color="auto"/>
                    <w:right w:val="single" w:sz="4" w:space="0" w:color="auto"/>
                  </w:tcBorders>
                  <w:shd w:val="clear" w:color="000000" w:fill="FF7F7E"/>
                  <w:vAlign w:val="center"/>
                  <w:hideMark/>
                </w:tcPr>
                <w:p w14:paraId="2D6E0688" w14:textId="77777777" w:rsidR="00AF79CE" w:rsidRPr="00AF79CE" w:rsidRDefault="00AF79CE" w:rsidP="00AF79CE">
                  <w:pPr>
                    <w:jc w:val="center"/>
                    <w:rPr>
                      <w:rFonts w:eastAsia="Times New Roman" w:cs="Arial"/>
                      <w:b w:val="0"/>
                      <w:color w:val="000000"/>
                      <w:sz w:val="16"/>
                      <w:szCs w:val="16"/>
                      <w:lang w:val="es-ES" w:eastAsia="es-ES"/>
                    </w:rPr>
                  </w:pPr>
                  <w:r w:rsidRPr="00AF79CE">
                    <w:rPr>
                      <w:rFonts w:eastAsia="Times New Roman" w:cs="Arial"/>
                      <w:b w:val="0"/>
                      <w:color w:val="000000"/>
                      <w:sz w:val="16"/>
                      <w:szCs w:val="16"/>
                      <w:lang w:val="es-ES" w:eastAsia="es-ES"/>
                    </w:rPr>
                    <w:t>RECM</w:t>
                  </w:r>
                </w:p>
              </w:tc>
              <w:tc>
                <w:tcPr>
                  <w:tcW w:w="1064" w:type="dxa"/>
                  <w:tcBorders>
                    <w:top w:val="nil"/>
                    <w:left w:val="nil"/>
                    <w:bottom w:val="single" w:sz="4" w:space="0" w:color="auto"/>
                    <w:right w:val="single" w:sz="4" w:space="0" w:color="auto"/>
                  </w:tcBorders>
                  <w:shd w:val="clear" w:color="000000" w:fill="A83800"/>
                  <w:vAlign w:val="center"/>
                  <w:hideMark/>
                </w:tcPr>
                <w:p w14:paraId="70FD6353" w14:textId="77777777" w:rsidR="00AF79CE" w:rsidRPr="00AF79CE" w:rsidRDefault="00AF79CE" w:rsidP="00AF79CE">
                  <w:pPr>
                    <w:jc w:val="center"/>
                    <w:rPr>
                      <w:rFonts w:eastAsia="Times New Roman" w:cs="Arial"/>
                      <w:b w:val="0"/>
                      <w:color w:val="000000"/>
                      <w:sz w:val="16"/>
                      <w:szCs w:val="16"/>
                      <w:lang w:val="es-ES" w:eastAsia="es-ES"/>
                    </w:rPr>
                  </w:pPr>
                  <w:r w:rsidRPr="00AF79CE">
                    <w:rPr>
                      <w:rFonts w:eastAsia="Times New Roman" w:cs="Arial"/>
                      <w:b w:val="0"/>
                      <w:color w:val="000000"/>
                      <w:sz w:val="16"/>
                      <w:szCs w:val="16"/>
                      <w:lang w:val="es-ES" w:eastAsia="es-ES"/>
                    </w:rPr>
                    <w:t>CPS</w:t>
                  </w:r>
                </w:p>
              </w:tc>
              <w:tc>
                <w:tcPr>
                  <w:tcW w:w="1064" w:type="dxa"/>
                  <w:tcBorders>
                    <w:top w:val="nil"/>
                    <w:left w:val="nil"/>
                    <w:bottom w:val="single" w:sz="4" w:space="0" w:color="auto"/>
                    <w:right w:val="single" w:sz="4" w:space="0" w:color="auto"/>
                  </w:tcBorders>
                  <w:shd w:val="clear" w:color="000000" w:fill="FFAA00"/>
                  <w:vAlign w:val="center"/>
                  <w:hideMark/>
                </w:tcPr>
                <w:p w14:paraId="43D851C7" w14:textId="77777777" w:rsidR="00AF79CE" w:rsidRPr="00AF79CE" w:rsidRDefault="00AF79CE" w:rsidP="00AF79CE">
                  <w:pPr>
                    <w:jc w:val="center"/>
                    <w:rPr>
                      <w:rFonts w:eastAsia="Times New Roman" w:cs="Arial"/>
                      <w:b w:val="0"/>
                      <w:color w:val="000000"/>
                      <w:sz w:val="16"/>
                      <w:szCs w:val="16"/>
                      <w:lang w:val="es-ES" w:eastAsia="es-ES"/>
                    </w:rPr>
                  </w:pPr>
                  <w:r w:rsidRPr="00AF79CE">
                    <w:rPr>
                      <w:rFonts w:eastAsia="Times New Roman" w:cs="Arial"/>
                      <w:b w:val="0"/>
                      <w:color w:val="000000"/>
                      <w:sz w:val="16"/>
                      <w:szCs w:val="16"/>
                      <w:lang w:val="es-ES" w:eastAsia="es-ES"/>
                    </w:rPr>
                    <w:t>CTS</w:t>
                  </w:r>
                </w:p>
              </w:tc>
              <w:tc>
                <w:tcPr>
                  <w:tcW w:w="1064" w:type="dxa"/>
                  <w:tcBorders>
                    <w:top w:val="nil"/>
                    <w:left w:val="nil"/>
                    <w:bottom w:val="single" w:sz="4" w:space="0" w:color="auto"/>
                    <w:right w:val="single" w:sz="4" w:space="0" w:color="auto"/>
                  </w:tcBorders>
                  <w:shd w:val="clear" w:color="000000" w:fill="FFFF00"/>
                  <w:vAlign w:val="center"/>
                  <w:hideMark/>
                </w:tcPr>
                <w:p w14:paraId="5CC6050D" w14:textId="77777777" w:rsidR="00AF79CE" w:rsidRPr="00AF79CE" w:rsidRDefault="00AF79CE" w:rsidP="00AF79CE">
                  <w:pPr>
                    <w:jc w:val="center"/>
                    <w:rPr>
                      <w:rFonts w:eastAsia="Times New Roman" w:cs="Arial"/>
                      <w:b w:val="0"/>
                      <w:color w:val="000000"/>
                      <w:sz w:val="16"/>
                      <w:szCs w:val="16"/>
                      <w:lang w:val="es-ES" w:eastAsia="es-ES"/>
                    </w:rPr>
                  </w:pPr>
                  <w:r w:rsidRPr="00AF79CE">
                    <w:rPr>
                      <w:rFonts w:eastAsia="Times New Roman" w:cs="Arial"/>
                      <w:b w:val="0"/>
                      <w:color w:val="000000"/>
                      <w:sz w:val="16"/>
                      <w:szCs w:val="16"/>
                      <w:lang w:val="es-ES" w:eastAsia="es-ES"/>
                    </w:rPr>
                    <w:t>AGS</w:t>
                  </w:r>
                </w:p>
              </w:tc>
              <w:tc>
                <w:tcPr>
                  <w:tcW w:w="1064" w:type="dxa"/>
                  <w:tcBorders>
                    <w:top w:val="nil"/>
                    <w:left w:val="nil"/>
                    <w:bottom w:val="single" w:sz="4" w:space="0" w:color="auto"/>
                    <w:right w:val="single" w:sz="4" w:space="0" w:color="auto"/>
                  </w:tcBorders>
                  <w:shd w:val="clear" w:color="000000" w:fill="A8A800"/>
                  <w:vAlign w:val="center"/>
                  <w:hideMark/>
                </w:tcPr>
                <w:p w14:paraId="33BCA1AF" w14:textId="77777777" w:rsidR="00AF79CE" w:rsidRPr="00AF79CE" w:rsidRDefault="00AF79CE" w:rsidP="00AF79CE">
                  <w:pPr>
                    <w:jc w:val="center"/>
                    <w:rPr>
                      <w:rFonts w:eastAsia="Times New Roman" w:cs="Arial"/>
                      <w:b w:val="0"/>
                      <w:color w:val="000000"/>
                      <w:sz w:val="16"/>
                      <w:szCs w:val="16"/>
                      <w:lang w:val="es-ES" w:eastAsia="es-ES"/>
                    </w:rPr>
                  </w:pPr>
                  <w:r w:rsidRPr="00AF79CE">
                    <w:rPr>
                      <w:rFonts w:eastAsia="Times New Roman" w:cs="Arial"/>
                      <w:b w:val="0"/>
                      <w:color w:val="000000"/>
                      <w:sz w:val="16"/>
                      <w:szCs w:val="16"/>
                      <w:lang w:val="es-ES" w:eastAsia="es-ES"/>
                    </w:rPr>
                    <w:t>ASP</w:t>
                  </w:r>
                </w:p>
              </w:tc>
              <w:tc>
                <w:tcPr>
                  <w:tcW w:w="1064" w:type="dxa"/>
                  <w:tcBorders>
                    <w:top w:val="nil"/>
                    <w:left w:val="nil"/>
                    <w:bottom w:val="single" w:sz="4" w:space="0" w:color="auto"/>
                    <w:right w:val="single" w:sz="4" w:space="0" w:color="auto"/>
                  </w:tcBorders>
                  <w:shd w:val="clear" w:color="000000" w:fill="00E6A9"/>
                  <w:vAlign w:val="center"/>
                  <w:hideMark/>
                </w:tcPr>
                <w:p w14:paraId="669387DF" w14:textId="77777777" w:rsidR="00AF79CE" w:rsidRPr="00AF79CE" w:rsidRDefault="00AF79CE" w:rsidP="00AF79CE">
                  <w:pPr>
                    <w:jc w:val="center"/>
                    <w:rPr>
                      <w:rFonts w:eastAsia="Times New Roman" w:cs="Arial"/>
                      <w:b w:val="0"/>
                      <w:color w:val="000000"/>
                      <w:sz w:val="16"/>
                      <w:szCs w:val="16"/>
                      <w:lang w:val="es-ES" w:eastAsia="es-ES"/>
                    </w:rPr>
                  </w:pPr>
                  <w:r w:rsidRPr="00AF79CE">
                    <w:rPr>
                      <w:rFonts w:eastAsia="Times New Roman" w:cs="Arial"/>
                      <w:b w:val="0"/>
                      <w:color w:val="000000"/>
                      <w:sz w:val="16"/>
                      <w:szCs w:val="16"/>
                      <w:lang w:val="es-ES" w:eastAsia="es-ES"/>
                    </w:rPr>
                    <w:t>FPP</w:t>
                  </w:r>
                </w:p>
              </w:tc>
              <w:tc>
                <w:tcPr>
                  <w:tcW w:w="1064" w:type="dxa"/>
                  <w:tcBorders>
                    <w:top w:val="nil"/>
                    <w:left w:val="nil"/>
                    <w:bottom w:val="single" w:sz="4" w:space="0" w:color="auto"/>
                    <w:right w:val="single" w:sz="4" w:space="0" w:color="auto"/>
                  </w:tcBorders>
                  <w:shd w:val="clear" w:color="000000" w:fill="89CD66"/>
                  <w:vAlign w:val="center"/>
                  <w:hideMark/>
                </w:tcPr>
                <w:p w14:paraId="44D052EC" w14:textId="77777777" w:rsidR="00AF79CE" w:rsidRPr="00AF79CE" w:rsidRDefault="00AF79CE" w:rsidP="00AF79CE">
                  <w:pPr>
                    <w:jc w:val="center"/>
                    <w:rPr>
                      <w:rFonts w:eastAsia="Times New Roman" w:cs="Arial"/>
                      <w:b w:val="0"/>
                      <w:color w:val="000000"/>
                      <w:sz w:val="16"/>
                      <w:szCs w:val="16"/>
                      <w:lang w:val="es-ES" w:eastAsia="es-ES"/>
                    </w:rPr>
                  </w:pPr>
                  <w:r w:rsidRPr="00AF79CE">
                    <w:rPr>
                      <w:rFonts w:eastAsia="Times New Roman" w:cs="Arial"/>
                      <w:b w:val="0"/>
                      <w:color w:val="000000"/>
                      <w:sz w:val="16"/>
                      <w:szCs w:val="16"/>
                      <w:lang w:val="es-ES" w:eastAsia="es-ES"/>
                    </w:rPr>
                    <w:t>FPR</w:t>
                  </w:r>
                </w:p>
              </w:tc>
            </w:tr>
          </w:tbl>
          <w:p w14:paraId="2744268F" w14:textId="77777777" w:rsidR="00AF79CE" w:rsidRPr="00AF79CE" w:rsidRDefault="00AF79CE" w:rsidP="00AF79CE">
            <w:pPr>
              <w:jc w:val="both"/>
              <w:rPr>
                <w:rFonts w:cs="Arial"/>
                <w:b w:val="0"/>
                <w:sz w:val="20"/>
                <w:szCs w:val="20"/>
                <w:lang w:val="es-ES"/>
              </w:rPr>
            </w:pPr>
          </w:p>
          <w:p w14:paraId="7C87F32B" w14:textId="77777777" w:rsidR="00AF79CE" w:rsidRPr="00AF79CE" w:rsidRDefault="00AF79CE" w:rsidP="00AF79CE">
            <w:pPr>
              <w:jc w:val="both"/>
              <w:rPr>
                <w:rFonts w:cs="Arial"/>
                <w:b w:val="0"/>
                <w:sz w:val="20"/>
                <w:szCs w:val="20"/>
                <w:lang w:val="es-ES"/>
              </w:rPr>
            </w:pPr>
            <w:r w:rsidRPr="00AF79CE">
              <w:rPr>
                <w:rFonts w:cs="Arial"/>
                <w:b w:val="0"/>
                <w:sz w:val="20"/>
                <w:szCs w:val="20"/>
                <w:lang w:val="es-ES"/>
              </w:rPr>
              <w:t xml:space="preserve">La categoría de uso múltiple comprende áreas donde se realizará la producción sostenible. Así, las zonas y </w:t>
            </w:r>
            <w:proofErr w:type="spellStart"/>
            <w:r w:rsidRPr="00AF79CE">
              <w:rPr>
                <w:rFonts w:cs="Arial"/>
                <w:b w:val="0"/>
                <w:sz w:val="20"/>
                <w:szCs w:val="20"/>
                <w:lang w:val="es-ES"/>
              </w:rPr>
              <w:t>sub-zonas</w:t>
            </w:r>
            <w:proofErr w:type="spellEnd"/>
            <w:r w:rsidRPr="00AF79CE">
              <w:rPr>
                <w:rFonts w:cs="Arial"/>
                <w:b w:val="0"/>
                <w:sz w:val="20"/>
                <w:szCs w:val="20"/>
                <w:lang w:val="es-ES"/>
              </w:rPr>
              <w:t xml:space="preserve"> de manejo responden a la capacidad de uso de la tierra, así como a la aplicación de indicadores planteados en los subcomponentes físico, biótico, socioeconómicos y normativa establecidas en el país. La categoría de uso múltiple se encuentra dividida en zonas de restauración, áreas para la producción agrícola, ganadera y de uso sostenible de recursos naturales y las áreas urbanas (MADS, 2014).</w:t>
            </w:r>
          </w:p>
          <w:p w14:paraId="0688B3CF" w14:textId="77777777" w:rsidR="00AF79CE" w:rsidRPr="00AF79CE" w:rsidRDefault="00AF79CE" w:rsidP="00AF79CE">
            <w:pPr>
              <w:jc w:val="both"/>
              <w:rPr>
                <w:rFonts w:cs="Arial"/>
                <w:b w:val="0"/>
                <w:sz w:val="20"/>
                <w:szCs w:val="20"/>
                <w:lang w:val="es-ES"/>
              </w:rPr>
            </w:pPr>
          </w:p>
          <w:p w14:paraId="4566B0FD" w14:textId="77777777" w:rsidR="00AF79CE" w:rsidRPr="00AF79CE" w:rsidRDefault="00AF79CE" w:rsidP="00AF79CE">
            <w:pPr>
              <w:jc w:val="both"/>
              <w:rPr>
                <w:rFonts w:cs="Arial"/>
                <w:b w:val="0"/>
                <w:sz w:val="20"/>
                <w:szCs w:val="20"/>
                <w:lang w:val="es-ES"/>
              </w:rPr>
            </w:pPr>
            <w:r w:rsidRPr="00AF79CE">
              <w:rPr>
                <w:rFonts w:cs="Arial"/>
                <w:b w:val="0"/>
                <w:sz w:val="20"/>
                <w:szCs w:val="20"/>
                <w:lang w:val="es-ES"/>
              </w:rPr>
              <w:t>Las áreas de restauración tienen un manejo de recuperación. Así, estas áreas tienen como objetivo retomar la utilidad del ecosistema para la prestación de servicios diferentes a los del ecosistema general. La recuperación permite reemplazar ecosistemas degradados por otro productivo. Es importante recalcar que esto no permite alcanzar el ecosistema original. Estas áreas de recuperación de uso múltiple, para el caso particular dentro de la cuenca, se encuentran ubicadas en los municipios:</w:t>
            </w:r>
          </w:p>
          <w:p w14:paraId="0FA0BADF" w14:textId="77777777" w:rsidR="00AF79CE" w:rsidRPr="00AF79CE" w:rsidRDefault="00AF79CE" w:rsidP="00AF79CE">
            <w:pPr>
              <w:jc w:val="both"/>
              <w:rPr>
                <w:rFonts w:cs="Arial"/>
                <w:b w:val="0"/>
                <w:sz w:val="20"/>
                <w:szCs w:val="20"/>
                <w:u w:val="single"/>
                <w:lang w:val="es-ES"/>
              </w:rPr>
            </w:pPr>
          </w:p>
          <w:p w14:paraId="242DB223" w14:textId="77777777" w:rsidR="00AF79CE" w:rsidRPr="00AF79CE" w:rsidRDefault="00AF79CE" w:rsidP="00AF79CE">
            <w:pPr>
              <w:jc w:val="both"/>
              <w:rPr>
                <w:rFonts w:cs="Arial"/>
                <w:b w:val="0"/>
                <w:sz w:val="20"/>
                <w:szCs w:val="20"/>
                <w:lang w:val="es-ES"/>
              </w:rPr>
            </w:pPr>
            <w:r w:rsidRPr="00AF79CE">
              <w:rPr>
                <w:rFonts w:cs="Arial"/>
                <w:b w:val="0"/>
                <w:sz w:val="20"/>
                <w:szCs w:val="20"/>
                <w:lang w:val="es-ES"/>
              </w:rPr>
              <w:t>- Ábrego (Vereda El Páramo) dónde suman 0,206039 ha2.</w:t>
            </w:r>
          </w:p>
          <w:p w14:paraId="0817BA3E" w14:textId="77777777" w:rsidR="00AF79CE" w:rsidRPr="00AF79CE" w:rsidRDefault="00AF79CE" w:rsidP="00AF79CE">
            <w:pPr>
              <w:jc w:val="both"/>
              <w:rPr>
                <w:rFonts w:cs="Arial"/>
                <w:b w:val="0"/>
                <w:sz w:val="20"/>
                <w:szCs w:val="20"/>
                <w:lang w:val="es-ES"/>
              </w:rPr>
            </w:pPr>
            <w:r w:rsidRPr="00AF79CE">
              <w:rPr>
                <w:rFonts w:cs="Arial"/>
                <w:b w:val="0"/>
                <w:sz w:val="20"/>
                <w:szCs w:val="20"/>
                <w:lang w:val="es-ES"/>
              </w:rPr>
              <w:t>- Cáchira (Veredas El Manzano, El Recreo, El Salobre, Montenegro, San Agustin De La Vega, San Jose De La Montaña, Santamaria), las cuales suman un total de 127,227669 ha2.</w:t>
            </w:r>
          </w:p>
          <w:p w14:paraId="1150819E" w14:textId="77777777" w:rsidR="00AF79CE" w:rsidRPr="00AF79CE" w:rsidRDefault="00AF79CE" w:rsidP="00AF79CE">
            <w:pPr>
              <w:jc w:val="both"/>
              <w:rPr>
                <w:rFonts w:cs="Arial"/>
                <w:b w:val="0"/>
                <w:sz w:val="20"/>
                <w:szCs w:val="20"/>
                <w:lang w:val="es-ES"/>
              </w:rPr>
            </w:pPr>
            <w:r w:rsidRPr="00AF79CE">
              <w:rPr>
                <w:rFonts w:cs="Arial"/>
                <w:b w:val="0"/>
                <w:sz w:val="20"/>
                <w:szCs w:val="20"/>
                <w:lang w:val="es-ES"/>
              </w:rPr>
              <w:t xml:space="preserve">- La Esperanza (Veredas Meseta De Vaca, </w:t>
            </w:r>
            <w:proofErr w:type="spellStart"/>
            <w:r w:rsidRPr="00AF79CE">
              <w:rPr>
                <w:rFonts w:cs="Arial"/>
                <w:b w:val="0"/>
                <w:sz w:val="20"/>
                <w:szCs w:val="20"/>
                <w:lang w:val="es-ES"/>
              </w:rPr>
              <w:t>Otovas</w:t>
            </w:r>
            <w:proofErr w:type="spellEnd"/>
            <w:r w:rsidRPr="00AF79CE">
              <w:rPr>
                <w:rFonts w:cs="Arial"/>
                <w:b w:val="0"/>
                <w:sz w:val="20"/>
                <w:szCs w:val="20"/>
                <w:lang w:val="es-ES"/>
              </w:rPr>
              <w:t>, Palmira) las cuales suman 64,821224 ha2.</w:t>
            </w:r>
          </w:p>
          <w:p w14:paraId="58893A80" w14:textId="77777777" w:rsidR="00AF79CE" w:rsidRPr="00AF79CE" w:rsidRDefault="00AF79CE" w:rsidP="00AF79CE">
            <w:pPr>
              <w:jc w:val="both"/>
              <w:rPr>
                <w:rFonts w:cs="Arial"/>
                <w:b w:val="0"/>
                <w:sz w:val="20"/>
                <w:szCs w:val="20"/>
                <w:lang w:val="es-ES"/>
              </w:rPr>
            </w:pPr>
            <w:r w:rsidRPr="00AF79CE">
              <w:rPr>
                <w:rFonts w:cs="Arial"/>
                <w:b w:val="0"/>
                <w:sz w:val="20"/>
                <w:szCs w:val="20"/>
                <w:lang w:val="es-ES"/>
              </w:rPr>
              <w:t>- Rionegro (Vereda CAÑO SIETE) la cual suma 5,386879 ha2.</w:t>
            </w:r>
          </w:p>
          <w:p w14:paraId="239631DE" w14:textId="77777777" w:rsidR="00AF79CE" w:rsidRPr="00AF79CE" w:rsidRDefault="00AF79CE" w:rsidP="00AF79CE">
            <w:pPr>
              <w:jc w:val="both"/>
              <w:rPr>
                <w:rFonts w:cs="Arial"/>
                <w:b w:val="0"/>
                <w:sz w:val="20"/>
                <w:szCs w:val="20"/>
                <w:lang w:val="es-ES"/>
              </w:rPr>
            </w:pPr>
          </w:p>
          <w:p w14:paraId="5403E4AB" w14:textId="77777777" w:rsidR="00AF79CE" w:rsidRPr="00AF79CE" w:rsidRDefault="00AF79CE" w:rsidP="00AF79CE">
            <w:pPr>
              <w:jc w:val="both"/>
              <w:rPr>
                <w:rFonts w:cs="Arial"/>
                <w:b w:val="0"/>
                <w:sz w:val="20"/>
                <w:szCs w:val="20"/>
                <w:lang w:val="es-ES"/>
              </w:rPr>
            </w:pPr>
            <w:r w:rsidRPr="00AF79CE">
              <w:rPr>
                <w:rFonts w:cs="Arial"/>
                <w:b w:val="0"/>
                <w:sz w:val="20"/>
                <w:szCs w:val="20"/>
                <w:lang w:val="es-ES"/>
              </w:rPr>
              <w:t xml:space="preserve">Las áreas para la producción agrícola, ganadera y de uso sostenible de los recursos naturales tienen dos </w:t>
            </w:r>
            <w:proofErr w:type="spellStart"/>
            <w:r w:rsidRPr="00AF79CE">
              <w:rPr>
                <w:rFonts w:cs="Arial"/>
                <w:b w:val="0"/>
                <w:sz w:val="20"/>
                <w:szCs w:val="20"/>
                <w:lang w:val="es-ES"/>
              </w:rPr>
              <w:t>sub-zonas</w:t>
            </w:r>
            <w:proofErr w:type="spellEnd"/>
            <w:r w:rsidRPr="00AF79CE">
              <w:rPr>
                <w:rFonts w:cs="Arial"/>
                <w:b w:val="0"/>
                <w:sz w:val="20"/>
                <w:szCs w:val="20"/>
                <w:lang w:val="es-ES"/>
              </w:rPr>
              <w:t xml:space="preserve"> de manejo: áreas agrícolas, áreas agrosilvopastoriles y áreas urbanas. Las áreas agrícolas corresponden a aquellas áreas cuyo uso agrícola con cultivos intensivos y </w:t>
            </w:r>
            <w:proofErr w:type="spellStart"/>
            <w:r w:rsidRPr="00AF79CE">
              <w:rPr>
                <w:rFonts w:cs="Arial"/>
                <w:b w:val="0"/>
                <w:sz w:val="20"/>
                <w:szCs w:val="20"/>
                <w:lang w:val="es-ES"/>
              </w:rPr>
              <w:t>semi-intensivos</w:t>
            </w:r>
            <w:proofErr w:type="spellEnd"/>
            <w:r w:rsidRPr="00AF79CE">
              <w:rPr>
                <w:rFonts w:cs="Arial"/>
                <w:b w:val="0"/>
                <w:sz w:val="20"/>
                <w:szCs w:val="20"/>
                <w:lang w:val="es-ES"/>
              </w:rPr>
              <w:t xml:space="preserve"> transitorios y permanentes demandan la incorporación progresiva en el tiempo de criterio de sostenibilidad ambiental. Por su parte, las áreas agrosilvopastoriles corresponden a aquellas áreas cuyo uso agrícola, pecuario y forestal resulta sostenible.</w:t>
            </w:r>
          </w:p>
          <w:p w14:paraId="346857DA" w14:textId="77777777" w:rsidR="00AF79CE" w:rsidRPr="00AF79CE" w:rsidRDefault="00AF79CE" w:rsidP="00AF79CE">
            <w:pPr>
              <w:jc w:val="both"/>
              <w:rPr>
                <w:rFonts w:cs="Arial"/>
                <w:b w:val="0"/>
                <w:sz w:val="20"/>
                <w:szCs w:val="20"/>
                <w:u w:val="single"/>
                <w:lang w:val="es-ES"/>
              </w:rPr>
            </w:pPr>
          </w:p>
        </w:tc>
      </w:tr>
    </w:tbl>
    <w:p w14:paraId="4CEBD389" w14:textId="4512F87A" w:rsidR="00A25A68" w:rsidRPr="00517815" w:rsidRDefault="00517815" w:rsidP="00FB217C">
      <w:pPr>
        <w:jc w:val="both"/>
        <w:rPr>
          <w:rFonts w:cs="Arial"/>
          <w:b w:val="0"/>
          <w:sz w:val="16"/>
          <w:szCs w:val="16"/>
          <w:lang w:val="es-ES"/>
        </w:rPr>
      </w:pPr>
      <w:r w:rsidRPr="00517815">
        <w:rPr>
          <w:rFonts w:cs="Arial"/>
          <w:bCs/>
          <w:sz w:val="16"/>
          <w:szCs w:val="16"/>
          <w:lang w:val="es-ES"/>
        </w:rPr>
        <w:lastRenderedPageBreak/>
        <w:t xml:space="preserve">Fuente: </w:t>
      </w:r>
      <w:r w:rsidRPr="00517815">
        <w:rPr>
          <w:rFonts w:cs="Arial"/>
          <w:b w:val="0"/>
          <w:sz w:val="16"/>
          <w:szCs w:val="16"/>
          <w:lang w:val="es-ES"/>
        </w:rPr>
        <w:t xml:space="preserve">POMCA Lebrija Medio, consultoría para el ajuste (actualización) del plan de ordenación y manejo de la cuenca hidrográfica del rio Lebrija Medio (código 2319-03) de conformidad con los términos establecidos por el fondo de adaptación dentro del convenio interadministrativo no. 021 de 2014, adoptado mediante Resolución Conjunta CDMB </w:t>
      </w:r>
      <w:proofErr w:type="spellStart"/>
      <w:r w:rsidRPr="00517815">
        <w:rPr>
          <w:rFonts w:cs="Arial"/>
          <w:b w:val="0"/>
          <w:sz w:val="16"/>
          <w:szCs w:val="16"/>
          <w:lang w:val="es-ES"/>
        </w:rPr>
        <w:t>N°</w:t>
      </w:r>
      <w:proofErr w:type="spellEnd"/>
      <w:r w:rsidRPr="00517815">
        <w:rPr>
          <w:rFonts w:cs="Arial"/>
          <w:b w:val="0"/>
          <w:sz w:val="16"/>
          <w:szCs w:val="16"/>
          <w:lang w:val="es-ES"/>
        </w:rPr>
        <w:t xml:space="preserve"> 1728 de 27 de diciembre de 2019, CORPONOR </w:t>
      </w:r>
      <w:proofErr w:type="spellStart"/>
      <w:r w:rsidRPr="00517815">
        <w:rPr>
          <w:rFonts w:cs="Arial"/>
          <w:b w:val="0"/>
          <w:sz w:val="16"/>
          <w:szCs w:val="16"/>
          <w:lang w:val="es-ES"/>
        </w:rPr>
        <w:t>N°</w:t>
      </w:r>
      <w:proofErr w:type="spellEnd"/>
      <w:r w:rsidRPr="00517815">
        <w:rPr>
          <w:rFonts w:cs="Arial"/>
          <w:b w:val="0"/>
          <w:sz w:val="16"/>
          <w:szCs w:val="16"/>
          <w:lang w:val="es-ES"/>
        </w:rPr>
        <w:t xml:space="preserve"> 1522 de 30 de diciembre de 2019, CAS </w:t>
      </w:r>
      <w:proofErr w:type="spellStart"/>
      <w:r w:rsidRPr="00517815">
        <w:rPr>
          <w:rFonts w:cs="Arial"/>
          <w:b w:val="0"/>
          <w:sz w:val="16"/>
          <w:szCs w:val="16"/>
          <w:lang w:val="es-ES"/>
        </w:rPr>
        <w:t>N°</w:t>
      </w:r>
      <w:proofErr w:type="spellEnd"/>
      <w:r w:rsidRPr="00517815">
        <w:rPr>
          <w:rFonts w:cs="Arial"/>
          <w:b w:val="0"/>
          <w:sz w:val="16"/>
          <w:szCs w:val="16"/>
          <w:lang w:val="es-ES"/>
        </w:rPr>
        <w:t xml:space="preserve"> 1117 de 27 de diciembre de 2019, CORPOCESAR </w:t>
      </w:r>
      <w:proofErr w:type="spellStart"/>
      <w:r w:rsidRPr="00517815">
        <w:rPr>
          <w:rFonts w:cs="Arial"/>
          <w:b w:val="0"/>
          <w:sz w:val="16"/>
          <w:szCs w:val="16"/>
          <w:lang w:val="es-ES"/>
        </w:rPr>
        <w:t>N°</w:t>
      </w:r>
      <w:proofErr w:type="spellEnd"/>
      <w:r w:rsidRPr="00517815">
        <w:rPr>
          <w:rFonts w:cs="Arial"/>
          <w:b w:val="0"/>
          <w:sz w:val="16"/>
          <w:szCs w:val="16"/>
          <w:lang w:val="es-ES"/>
        </w:rPr>
        <w:t xml:space="preserve"> 1540 de 30 de diciembre de 2019.</w:t>
      </w:r>
    </w:p>
    <w:p w14:paraId="57CFFB0F" w14:textId="77777777" w:rsidR="00517815" w:rsidRDefault="00517815" w:rsidP="00FB217C">
      <w:pPr>
        <w:jc w:val="both"/>
        <w:rPr>
          <w:rFonts w:cs="Arial"/>
          <w:b w:val="0"/>
        </w:rPr>
      </w:pPr>
    </w:p>
    <w:p w14:paraId="023B5157" w14:textId="77777777" w:rsidR="00EF247D" w:rsidRDefault="00EF247D" w:rsidP="00EF247D">
      <w:pPr>
        <w:jc w:val="both"/>
        <w:rPr>
          <w:rFonts w:cs="Arial"/>
          <w:b w:val="0"/>
        </w:rPr>
      </w:pPr>
      <w:r w:rsidRPr="002F5F11">
        <w:rPr>
          <w:rFonts w:cs="Arial"/>
          <w:b w:val="0"/>
          <w:bCs/>
          <w:iCs/>
          <w:lang w:val="es-ES"/>
        </w:rPr>
        <w:t xml:space="preserve">Es importante señalar que las categorías de ordenación, las zonas y subzonas de uso y manejo de los POMCAS aprobados por la CDMB son determinantes ambientales de superior jerarquía para el Ordenamiento Territorial de los Municipios que conforman la jurisdicción, según </w:t>
      </w:r>
      <w:r w:rsidRPr="002F5F11">
        <w:rPr>
          <w:rFonts w:cs="Arial"/>
          <w:iCs/>
          <w:lang w:val="es-ES"/>
        </w:rPr>
        <w:t>Resolución CDMB 1688 de 2019</w:t>
      </w:r>
      <w:r w:rsidRPr="002F5F11">
        <w:rPr>
          <w:rFonts w:cs="Arial"/>
          <w:b w:val="0"/>
          <w:bCs/>
          <w:iCs/>
          <w:lang w:val="es-ES"/>
        </w:rPr>
        <w:t>, “</w:t>
      </w:r>
      <w:r w:rsidRPr="002F5F11">
        <w:rPr>
          <w:rFonts w:cs="Arial"/>
          <w:b w:val="0"/>
          <w:bCs/>
          <w:i/>
          <w:lang w:val="es-ES"/>
        </w:rPr>
        <w:t>Por la cual se actualizan las Determinantes Ambientales para la Elaboración y Adopción de los Planes de Ordenamiento Territorial, Planes Básicos de Ordenamiento Territorial y Esquemas de Ordenamiento Territorial de los Municipios del área de jurisdicción de la Corporación Autónoma Regional para la Defensa de la Meseta de Bucaramanga y se dictan otras Disposiciones</w:t>
      </w:r>
      <w:r w:rsidRPr="002F5F11">
        <w:rPr>
          <w:rFonts w:cs="Arial"/>
          <w:b w:val="0"/>
          <w:bCs/>
          <w:iCs/>
          <w:lang w:val="es-ES"/>
        </w:rPr>
        <w:t xml:space="preserve">” y según </w:t>
      </w:r>
      <w:r w:rsidRPr="002F5F11">
        <w:rPr>
          <w:rFonts w:cs="Arial"/>
          <w:iCs/>
          <w:lang w:val="es-ES"/>
        </w:rPr>
        <w:t>artículo 2.2.3.1.5.6 del Decreto Nacional 1076 de 2015</w:t>
      </w:r>
      <w:r w:rsidRPr="002F5F11">
        <w:rPr>
          <w:rFonts w:cs="Arial"/>
          <w:b w:val="0"/>
          <w:bCs/>
          <w:iCs/>
          <w:lang w:val="es-ES"/>
        </w:rPr>
        <w:t xml:space="preserve"> que reza: </w:t>
      </w:r>
      <w:r w:rsidRPr="002F5F11">
        <w:rPr>
          <w:rFonts w:cs="Arial"/>
          <w:b w:val="0"/>
          <w:bCs/>
          <w:i/>
          <w:lang w:val="es-ES"/>
        </w:rPr>
        <w:t>“El Plan de Ordenación y Manejo de la Cuenca Hidrográfica se constituye en norma de superior jerarquía y determinante ambiental para la elaboración y adopción de los planes de ordenamiento, de conformidad con lo dispuesto en el artículo 10 de la Ley 388 de 1997</w:t>
      </w:r>
      <w:r w:rsidRPr="002F5F11">
        <w:rPr>
          <w:rFonts w:cs="Arial"/>
          <w:b w:val="0"/>
          <w:bCs/>
          <w:iCs/>
          <w:lang w:val="es-ES"/>
        </w:rPr>
        <w:t>.” Las determinantes ambientales tienen vida jurídica propia, esto quiere decir que entran a regir en el momento de su expedición, en consecuencia, aquellas determinantes que sean expedidas con posterioridad se entenderán incorporadas al POT sin que esto implique la modificación de este, estando a cargo del municipio la responsabilidad de incorporar aquellas normas que de estas se deriven.</w:t>
      </w:r>
    </w:p>
    <w:p w14:paraId="38AC2F2D" w14:textId="77777777" w:rsidR="00EF247D" w:rsidRDefault="00EF247D" w:rsidP="00EF247D">
      <w:pPr>
        <w:jc w:val="both"/>
        <w:rPr>
          <w:rFonts w:cs="Arial"/>
          <w:b w:val="0"/>
        </w:rPr>
      </w:pPr>
    </w:p>
    <w:p w14:paraId="409AB082" w14:textId="77777777" w:rsidR="00EF247D" w:rsidRPr="00C577ED" w:rsidRDefault="00EF247D" w:rsidP="00EF247D">
      <w:pPr>
        <w:jc w:val="both"/>
        <w:rPr>
          <w:rFonts w:eastAsiaTheme="minorHAnsi" w:cs="Arial"/>
        </w:rPr>
      </w:pPr>
      <w:r>
        <w:rPr>
          <w:rFonts w:eastAsiaTheme="minorHAnsi" w:cs="Arial"/>
          <w:b w:val="0"/>
        </w:rPr>
        <w:t>De manera adicional, v</w:t>
      </w:r>
      <w:r w:rsidRPr="00EF21D0">
        <w:rPr>
          <w:rFonts w:eastAsiaTheme="minorHAnsi" w:cs="Arial"/>
          <w:b w:val="0"/>
        </w:rPr>
        <w:t>erificados los instrumentos de planificación ambiental para el área objeto de análisis en el radicado del asunto, se debe informar que estos no se encuentran incluidos dentro de:</w:t>
      </w:r>
    </w:p>
    <w:p w14:paraId="09724FEF" w14:textId="77777777" w:rsidR="00EF247D" w:rsidRPr="00C577ED" w:rsidRDefault="00EF247D" w:rsidP="00EF247D">
      <w:pPr>
        <w:jc w:val="both"/>
        <w:rPr>
          <w:rFonts w:eastAsiaTheme="minorHAnsi" w:cs="Arial"/>
          <w:b w:val="0"/>
          <w:bCs/>
        </w:rPr>
      </w:pPr>
    </w:p>
    <w:p w14:paraId="01713C19" w14:textId="77777777" w:rsidR="00EF247D" w:rsidRPr="00E62B21" w:rsidRDefault="00EF247D" w:rsidP="00EF247D">
      <w:pPr>
        <w:pStyle w:val="Prrafodelista"/>
        <w:numPr>
          <w:ilvl w:val="0"/>
          <w:numId w:val="14"/>
        </w:numPr>
        <w:jc w:val="both"/>
        <w:rPr>
          <w:rFonts w:cs="Arial"/>
          <w:b w:val="0"/>
        </w:rPr>
      </w:pPr>
      <w:r w:rsidRPr="00E62B21">
        <w:rPr>
          <w:rFonts w:cs="Arial"/>
          <w:b w:val="0"/>
        </w:rPr>
        <w:t>Alguna área protegida declarada por la CDMB (DRMI, DCS, PNR).</w:t>
      </w:r>
    </w:p>
    <w:p w14:paraId="701B4E5D" w14:textId="77777777" w:rsidR="00EF247D" w:rsidRPr="00E62B21" w:rsidRDefault="00EF247D" w:rsidP="00EF247D">
      <w:pPr>
        <w:pStyle w:val="Prrafodelista"/>
        <w:numPr>
          <w:ilvl w:val="0"/>
          <w:numId w:val="14"/>
        </w:numPr>
        <w:jc w:val="both"/>
        <w:rPr>
          <w:rFonts w:cs="Arial"/>
          <w:b w:val="0"/>
        </w:rPr>
      </w:pPr>
      <w:r w:rsidRPr="00E62B21">
        <w:rPr>
          <w:rFonts w:cs="Arial"/>
          <w:b w:val="0"/>
        </w:rPr>
        <w:t>Sistema Nacional de Parques Naturales.</w:t>
      </w:r>
    </w:p>
    <w:p w14:paraId="629A4A55" w14:textId="77777777" w:rsidR="00EF247D" w:rsidRPr="00E62B21" w:rsidRDefault="00EF247D" w:rsidP="00EF247D">
      <w:pPr>
        <w:pStyle w:val="Prrafodelista"/>
        <w:numPr>
          <w:ilvl w:val="0"/>
          <w:numId w:val="14"/>
        </w:numPr>
        <w:jc w:val="both"/>
        <w:rPr>
          <w:rFonts w:cs="Arial"/>
          <w:b w:val="0"/>
        </w:rPr>
      </w:pPr>
      <w:r w:rsidRPr="00E62B21">
        <w:rPr>
          <w:rFonts w:cs="Arial"/>
          <w:b w:val="0"/>
        </w:rPr>
        <w:t>Reservas Protectoras Regionales.</w:t>
      </w:r>
    </w:p>
    <w:p w14:paraId="542290B2" w14:textId="77777777" w:rsidR="00EF247D" w:rsidRPr="00E62B21" w:rsidRDefault="00EF247D" w:rsidP="00EF247D">
      <w:pPr>
        <w:pStyle w:val="Prrafodelista"/>
        <w:numPr>
          <w:ilvl w:val="0"/>
          <w:numId w:val="14"/>
        </w:numPr>
        <w:jc w:val="both"/>
        <w:rPr>
          <w:rFonts w:cs="Arial"/>
          <w:b w:val="0"/>
        </w:rPr>
      </w:pPr>
      <w:r w:rsidRPr="00E62B21">
        <w:rPr>
          <w:rFonts w:cs="Arial"/>
          <w:b w:val="0"/>
        </w:rPr>
        <w:t>Reservas de la Sociedad civil.</w:t>
      </w:r>
    </w:p>
    <w:p w14:paraId="4D15D321" w14:textId="77777777" w:rsidR="00EF247D" w:rsidRPr="00E62B21" w:rsidRDefault="00EF247D" w:rsidP="00EF247D">
      <w:pPr>
        <w:pStyle w:val="Prrafodelista"/>
        <w:numPr>
          <w:ilvl w:val="0"/>
          <w:numId w:val="14"/>
        </w:numPr>
        <w:jc w:val="both"/>
        <w:rPr>
          <w:rFonts w:cs="Arial"/>
          <w:b w:val="0"/>
        </w:rPr>
      </w:pPr>
      <w:r w:rsidRPr="00E62B21">
        <w:rPr>
          <w:rFonts w:cs="Arial"/>
          <w:b w:val="0"/>
        </w:rPr>
        <w:t>Zonas de Reserva Forestal en el marco de la Ley 2 de 1959.</w:t>
      </w:r>
    </w:p>
    <w:p w14:paraId="59518A5B" w14:textId="77777777" w:rsidR="00EF247D" w:rsidRPr="00E62B21" w:rsidRDefault="00EF247D" w:rsidP="00EF247D">
      <w:pPr>
        <w:pStyle w:val="Prrafodelista"/>
        <w:numPr>
          <w:ilvl w:val="0"/>
          <w:numId w:val="14"/>
        </w:numPr>
        <w:jc w:val="both"/>
        <w:rPr>
          <w:rFonts w:cs="Arial"/>
          <w:b w:val="0"/>
        </w:rPr>
      </w:pPr>
      <w:r w:rsidRPr="00E62B21">
        <w:rPr>
          <w:rFonts w:cs="Arial"/>
          <w:b w:val="0"/>
        </w:rPr>
        <w:t>Ecosistemas estratégicos de Páramo y humedales declarados.</w:t>
      </w:r>
    </w:p>
    <w:p w14:paraId="28359815" w14:textId="77777777" w:rsidR="00EF247D" w:rsidRDefault="00EF247D" w:rsidP="00EF247D">
      <w:pPr>
        <w:jc w:val="both"/>
        <w:rPr>
          <w:rFonts w:cs="Arial"/>
          <w:b w:val="0"/>
        </w:rPr>
      </w:pPr>
    </w:p>
    <w:p w14:paraId="42F55B60" w14:textId="77777777" w:rsidR="00165010" w:rsidRPr="00EF21D0" w:rsidRDefault="00165010" w:rsidP="00EF247D">
      <w:pPr>
        <w:jc w:val="both"/>
        <w:rPr>
          <w:rFonts w:cs="Arial"/>
          <w:b w:val="0"/>
        </w:rPr>
      </w:pPr>
    </w:p>
    <w:p w14:paraId="2B181AFF" w14:textId="2C2F6309" w:rsidR="00EF247D" w:rsidRPr="001805B4" w:rsidRDefault="00EF247D" w:rsidP="00EF247D">
      <w:pPr>
        <w:jc w:val="both"/>
        <w:rPr>
          <w:b w:val="0"/>
        </w:rPr>
      </w:pPr>
      <w:bookmarkStart w:id="0" w:name="_Hlk201856263"/>
      <w:r w:rsidRPr="00EF21D0">
        <w:rPr>
          <w:b w:val="0"/>
        </w:rPr>
        <w:t>Por otra</w:t>
      </w:r>
      <w:r w:rsidRPr="001805B4">
        <w:rPr>
          <w:b w:val="0"/>
        </w:rPr>
        <w:t xml:space="preserve"> parte, a partir del análisis cartográfico realizado </w:t>
      </w:r>
      <w:r w:rsidR="00E274BF" w:rsidRPr="00E274BF">
        <w:rPr>
          <w:bCs/>
        </w:rPr>
        <w:t>(ver mapa anexo N°1)</w:t>
      </w:r>
      <w:r w:rsidRPr="001805B4">
        <w:rPr>
          <w:b w:val="0"/>
        </w:rPr>
        <w:t xml:space="preserve">, se evidenció la presencia de drenajes dentro y/o en las proximidades del área objeto de consulta, los cuales </w:t>
      </w:r>
      <w:bookmarkStart w:id="1" w:name="_Hlk201864148"/>
      <w:r w:rsidRPr="001805B4">
        <w:rPr>
          <w:b w:val="0"/>
        </w:rPr>
        <w:t>están identificados con los códigos y/o denominados como:</w:t>
      </w:r>
      <w:r w:rsidRPr="001805B4">
        <w:rPr>
          <w:bCs/>
        </w:rPr>
        <w:t xml:space="preserve"> </w:t>
      </w:r>
      <w:bookmarkEnd w:id="1"/>
      <w:r w:rsidR="007B6A86">
        <w:rPr>
          <w:bCs/>
        </w:rPr>
        <w:t>1</w:t>
      </w:r>
      <w:r w:rsidR="00FC275A">
        <w:rPr>
          <w:bCs/>
        </w:rPr>
        <w:t>5439 (</w:t>
      </w:r>
      <w:r w:rsidRPr="001805B4">
        <w:rPr>
          <w:bCs/>
        </w:rPr>
        <w:t xml:space="preserve">Quebrada </w:t>
      </w:r>
      <w:r w:rsidR="00FC275A">
        <w:rPr>
          <w:bCs/>
        </w:rPr>
        <w:t xml:space="preserve">La Conquista), </w:t>
      </w:r>
      <w:r w:rsidR="00477FB0">
        <w:rPr>
          <w:bCs/>
        </w:rPr>
        <w:t>1543931, 1543933</w:t>
      </w:r>
      <w:r w:rsidR="000B4E4B">
        <w:rPr>
          <w:bCs/>
        </w:rPr>
        <w:t xml:space="preserve"> y 1543935</w:t>
      </w:r>
      <w:r w:rsidRPr="001805B4">
        <w:rPr>
          <w:b w:val="0"/>
        </w:rPr>
        <w:t>. Esta situación conlleva la aplicación obligatoria de los aislamientos establecidos por la normativa ambiental vigente, con el fin de garantizar la protección y conservación de los recursos hídricos presentes.</w:t>
      </w:r>
    </w:p>
    <w:p w14:paraId="150A42E3" w14:textId="77777777" w:rsidR="00165010" w:rsidRPr="001805B4" w:rsidRDefault="00165010" w:rsidP="00EF247D">
      <w:pPr>
        <w:jc w:val="both"/>
        <w:rPr>
          <w:b w:val="0"/>
        </w:rPr>
      </w:pPr>
    </w:p>
    <w:p w14:paraId="16CE83A5" w14:textId="77777777" w:rsidR="00EF247D" w:rsidRPr="001805B4" w:rsidRDefault="00EF247D" w:rsidP="00EF247D">
      <w:pPr>
        <w:jc w:val="both"/>
        <w:rPr>
          <w:b w:val="0"/>
        </w:rPr>
      </w:pPr>
      <w:r w:rsidRPr="001805B4">
        <w:rPr>
          <w:b w:val="0"/>
        </w:rPr>
        <w:t xml:space="preserve">En este sentido, la </w:t>
      </w:r>
      <w:r w:rsidRPr="001805B4">
        <w:rPr>
          <w:bCs/>
        </w:rPr>
        <w:t xml:space="preserve">Resolución CDMB </w:t>
      </w:r>
      <w:proofErr w:type="spellStart"/>
      <w:r w:rsidRPr="001805B4">
        <w:rPr>
          <w:bCs/>
        </w:rPr>
        <w:t>Nº</w:t>
      </w:r>
      <w:proofErr w:type="spellEnd"/>
      <w:r w:rsidRPr="001805B4">
        <w:rPr>
          <w:bCs/>
        </w:rPr>
        <w:t xml:space="preserve"> 1688 de 2019</w:t>
      </w:r>
      <w:r w:rsidRPr="001805B4">
        <w:rPr>
          <w:b w:val="0"/>
        </w:rPr>
        <w:t xml:space="preserve">, que actualiza las determinantes ambientales para la formulación y adopción de los planes de ordenamiento territorial en los municipios bajo jurisdicción de la CDMB, establece en su ítem </w:t>
      </w:r>
      <w:r w:rsidRPr="001805B4">
        <w:rPr>
          <w:bCs/>
        </w:rPr>
        <w:t>5.3.3 sobre Rondas Hídricas</w:t>
      </w:r>
      <w:r w:rsidRPr="001805B4">
        <w:rPr>
          <w:b w:val="0"/>
        </w:rPr>
        <w:t xml:space="preserve"> que, </w:t>
      </w:r>
      <w:r w:rsidRPr="001805B4">
        <w:rPr>
          <w:b w:val="0"/>
        </w:rPr>
        <w:lastRenderedPageBreak/>
        <w:t>“</w:t>
      </w:r>
      <w:r w:rsidRPr="001805B4">
        <w:rPr>
          <w:b w:val="0"/>
          <w:i/>
        </w:rPr>
        <w:t xml:space="preserve">Salvo derechos adquiridos por particulares, son bienes inalienables e imprescriptibles del Estado una faja paralela a la línea de mareas máximas o a la del cauce permanente de ríos y lagos, hasta de </w:t>
      </w:r>
      <w:r w:rsidRPr="001805B4">
        <w:rPr>
          <w:bCs/>
          <w:i/>
        </w:rPr>
        <w:t>30 metros de ancho</w:t>
      </w:r>
      <w:r w:rsidRPr="001805B4">
        <w:rPr>
          <w:b w:val="0"/>
          <w:i/>
        </w:rPr>
        <w:t xml:space="preserve"> (Art. 83 Literal d) Decreto 2811 de 1974</w:t>
      </w:r>
      <w:r w:rsidRPr="001805B4">
        <w:rPr>
          <w:b w:val="0"/>
        </w:rPr>
        <w:t xml:space="preserve">”. A su vez, debe considerarse lo previsto en el </w:t>
      </w:r>
      <w:r w:rsidRPr="001805B4">
        <w:rPr>
          <w:bCs/>
        </w:rPr>
        <w:t>artículo 2.2.1.1.18.2 del Decreto 1076 de 2015</w:t>
      </w:r>
      <w:r w:rsidRPr="001805B4">
        <w:rPr>
          <w:b w:val="0"/>
        </w:rPr>
        <w:t xml:space="preserve">, en lo relacionado con las zonas de protección ambiental y su papel en la conservación del recurso hídrico. Adicionalmente, deben atenderse los aislamientos específicos definidos en el </w:t>
      </w:r>
      <w:r w:rsidRPr="001805B4">
        <w:rPr>
          <w:bCs/>
        </w:rPr>
        <w:t>Plan de Ordenamiento Territorial (POT)</w:t>
      </w:r>
      <w:r w:rsidRPr="001805B4">
        <w:rPr>
          <w:b w:val="0"/>
        </w:rPr>
        <w:t xml:space="preserve"> del municipio para el sector en análisis.</w:t>
      </w:r>
    </w:p>
    <w:p w14:paraId="656DE0D8" w14:textId="77777777" w:rsidR="00165010" w:rsidRPr="001805B4" w:rsidRDefault="00165010" w:rsidP="00EF247D">
      <w:pPr>
        <w:jc w:val="both"/>
        <w:rPr>
          <w:b w:val="0"/>
        </w:rPr>
      </w:pPr>
    </w:p>
    <w:p w14:paraId="21AB2F73" w14:textId="77777777" w:rsidR="00EF247D" w:rsidRPr="001805B4" w:rsidRDefault="00EF247D" w:rsidP="00EF247D">
      <w:pPr>
        <w:jc w:val="both"/>
        <w:rPr>
          <w:b w:val="0"/>
        </w:rPr>
      </w:pPr>
      <w:r w:rsidRPr="001805B4">
        <w:rPr>
          <w:b w:val="0"/>
        </w:rPr>
        <w:t xml:space="preserve">De igual forma, el ítem 7.3 de la misma Resolución 1688 de 2019 que remite al </w:t>
      </w:r>
      <w:r w:rsidRPr="001805B4">
        <w:rPr>
          <w:bCs/>
        </w:rPr>
        <w:t>Manual de Normas Técnicas para el Control de la Erosión y la Elaboración de Estudios Geológicos, Geotécnicos e Hidrológicos</w:t>
      </w:r>
      <w:r w:rsidRPr="001805B4">
        <w:rPr>
          <w:b w:val="0"/>
        </w:rPr>
        <w:t xml:space="preserve">, adoptado mediante la </w:t>
      </w:r>
      <w:r w:rsidRPr="001805B4">
        <w:rPr>
          <w:bCs/>
        </w:rPr>
        <w:t xml:space="preserve">Resolución CDMB </w:t>
      </w:r>
      <w:proofErr w:type="spellStart"/>
      <w:r w:rsidRPr="001805B4">
        <w:rPr>
          <w:bCs/>
        </w:rPr>
        <w:t>Nº</w:t>
      </w:r>
      <w:proofErr w:type="spellEnd"/>
      <w:r w:rsidRPr="001805B4">
        <w:rPr>
          <w:bCs/>
        </w:rPr>
        <w:t xml:space="preserve"> 1294 de 2009</w:t>
      </w:r>
      <w:r w:rsidRPr="001805B4">
        <w:rPr>
          <w:b w:val="0"/>
        </w:rPr>
        <w:t xml:space="preserve">, se establece en los numerales 7.3 y 7.5 del Capítulo VII los </w:t>
      </w:r>
      <w:r w:rsidRPr="001805B4">
        <w:rPr>
          <w:bCs/>
        </w:rPr>
        <w:t>aislamientos mínimos obligatorios</w:t>
      </w:r>
      <w:r w:rsidRPr="001805B4">
        <w:rPr>
          <w:b w:val="0"/>
        </w:rPr>
        <w:t xml:space="preserve"> frente a cauces principales y secundarios. Este documento señala que deberá conservarse, en todos los casos, la mayor de las distancias resultantes de la comparación entre los diferentes marcos normativos aplicables.</w:t>
      </w:r>
    </w:p>
    <w:p w14:paraId="0501F41D" w14:textId="77777777" w:rsidR="00165010" w:rsidRPr="001805B4" w:rsidRDefault="00165010" w:rsidP="00EF247D">
      <w:pPr>
        <w:jc w:val="both"/>
        <w:rPr>
          <w:b w:val="0"/>
        </w:rPr>
      </w:pPr>
    </w:p>
    <w:p w14:paraId="4CCCB845" w14:textId="77777777" w:rsidR="00EF247D" w:rsidRPr="001805B4" w:rsidRDefault="00EF247D" w:rsidP="00EF247D">
      <w:pPr>
        <w:jc w:val="both"/>
        <w:rPr>
          <w:b w:val="0"/>
        </w:rPr>
      </w:pPr>
      <w:r w:rsidRPr="001805B4">
        <w:rPr>
          <w:b w:val="0"/>
        </w:rPr>
        <w:t xml:space="preserve">En consecuencia, el aislamiento o zona de protección entre los proyectos y los cauces deberá corresponder a la </w:t>
      </w:r>
      <w:r w:rsidRPr="001805B4">
        <w:rPr>
          <w:bCs/>
        </w:rPr>
        <w:t>mayor distancia exigida</w:t>
      </w:r>
      <w:r w:rsidRPr="001805B4">
        <w:rPr>
          <w:b w:val="0"/>
        </w:rPr>
        <w:t xml:space="preserve"> por las disposiciones citadas (Resolución CDMB </w:t>
      </w:r>
      <w:proofErr w:type="spellStart"/>
      <w:r w:rsidRPr="001805B4">
        <w:rPr>
          <w:b w:val="0"/>
        </w:rPr>
        <w:t>Nº</w:t>
      </w:r>
      <w:proofErr w:type="spellEnd"/>
      <w:r w:rsidRPr="001805B4">
        <w:rPr>
          <w:b w:val="0"/>
        </w:rPr>
        <w:t xml:space="preserve"> 1294 de 2009, resolución CDMB </w:t>
      </w:r>
      <w:proofErr w:type="spellStart"/>
      <w:r w:rsidRPr="001805B4">
        <w:rPr>
          <w:b w:val="0"/>
        </w:rPr>
        <w:t>Nº</w:t>
      </w:r>
      <w:proofErr w:type="spellEnd"/>
      <w:r w:rsidRPr="001805B4">
        <w:rPr>
          <w:b w:val="0"/>
        </w:rPr>
        <w:t xml:space="preserve"> 1688 de 2019, EOT, PBOT y/o POT). Cabe resaltar que esta obligación también aplica para </w:t>
      </w:r>
      <w:r w:rsidRPr="001805B4">
        <w:rPr>
          <w:bCs/>
        </w:rPr>
        <w:t>fuentes hídricas o líneas de drenaje</w:t>
      </w:r>
      <w:r w:rsidRPr="001805B4">
        <w:rPr>
          <w:b w:val="0"/>
        </w:rPr>
        <w:t xml:space="preserve"> que, si bien no se encuentren codificadas en los sistemas de información geográfica institucionales, estén presentes en el área evaluada, ya sea mediante validación cartográfica o verificación en campo.</w:t>
      </w:r>
    </w:p>
    <w:p w14:paraId="64C61378" w14:textId="77777777" w:rsidR="00EF247D" w:rsidRDefault="00EF247D" w:rsidP="00EF247D">
      <w:pPr>
        <w:jc w:val="both"/>
        <w:rPr>
          <w:rFonts w:cs="Arial"/>
          <w:b w:val="0"/>
        </w:rPr>
      </w:pPr>
      <w:r w:rsidRPr="001805B4">
        <w:rPr>
          <w:rFonts w:cs="Arial"/>
          <w:b w:val="0"/>
        </w:rPr>
        <w:t>No obstante la información anterior a nivel de zonificación, a efectos de intervenciones a realizar en el área objeto de análisis, se solicita tener en cuenta los Usos del Suelo establecidos en el Plan de Ordenamiento Territorial del Municipio y gestionar previamente los permisos o autorizaciones a que dé lugar un potencial Proyecto, Obra o Actividad, ante las respectivas autoridades competentes, en cumplimiento de la normatividad vigente, lo anterior sin perjuicio de la demás normatividad aplicable, así mismo para la categoría descrita en el POMCA como áreas Urbanas, Municipales y Distritales, primará lo dispuesto en EOT, PBOT o POT, del respectivo Municipio, teniendo en cuenta la fuente de información primaria con la que se formula el POMCA y sus escalas de trabajo.</w:t>
      </w:r>
    </w:p>
    <w:p w14:paraId="7C555CAD" w14:textId="77777777" w:rsidR="00165010" w:rsidRDefault="00165010" w:rsidP="00EF247D">
      <w:pPr>
        <w:jc w:val="both"/>
        <w:rPr>
          <w:rFonts w:cs="Arial"/>
          <w:b w:val="0"/>
        </w:rPr>
      </w:pPr>
    </w:p>
    <w:p w14:paraId="13C5259E" w14:textId="1ACA496B" w:rsidR="00EF247D" w:rsidRPr="00654F1B" w:rsidRDefault="00EF247D" w:rsidP="00EF247D">
      <w:pPr>
        <w:jc w:val="both"/>
        <w:rPr>
          <w:rFonts w:cs="Arial"/>
          <w:b w:val="0"/>
        </w:rPr>
      </w:pPr>
      <w:r w:rsidRPr="00654F1B">
        <w:rPr>
          <w:rFonts w:cs="Arial"/>
          <w:b w:val="0"/>
        </w:rPr>
        <w:t xml:space="preserve">Igualmente, para </w:t>
      </w:r>
      <w:r>
        <w:rPr>
          <w:rFonts w:cs="Arial"/>
          <w:b w:val="0"/>
        </w:rPr>
        <w:t xml:space="preserve">los casos en donde se presenta </w:t>
      </w:r>
      <w:r w:rsidRPr="00654F1B">
        <w:rPr>
          <w:rFonts w:cs="Arial"/>
          <w:b w:val="0"/>
        </w:rPr>
        <w:t xml:space="preserve">la categoría de conservación de área de amenaza natural del POMCA, se solicita tener en cuenta las zonificaciones y </w:t>
      </w:r>
      <w:r w:rsidRPr="00654F1B">
        <w:rPr>
          <w:rFonts w:cs="Arial"/>
          <w:i/>
        </w:rPr>
        <w:t>delimitaciones resultantes de estudios detallados de amenazas por movimientos en masa, inundaciones y avenidas torrenciales,</w:t>
      </w:r>
      <w:r w:rsidRPr="00654F1B">
        <w:rPr>
          <w:rFonts w:cs="Arial"/>
          <w:b w:val="0"/>
        </w:rPr>
        <w:t xml:space="preserve"> que existan y que se encuentren debidamente incorporadas en el instrumento de planificación territorial (EOT,</w:t>
      </w:r>
      <w:r w:rsidR="00B64877">
        <w:rPr>
          <w:rFonts w:cs="Arial"/>
          <w:b w:val="0"/>
        </w:rPr>
        <w:t xml:space="preserve"> </w:t>
      </w:r>
      <w:r w:rsidRPr="00654F1B">
        <w:rPr>
          <w:rFonts w:cs="Arial"/>
          <w:b w:val="0"/>
        </w:rPr>
        <w:t>PBOT y/o POT), primaran estas últimas.</w:t>
      </w:r>
    </w:p>
    <w:p w14:paraId="3B27645A" w14:textId="77777777" w:rsidR="00165010" w:rsidRDefault="00165010" w:rsidP="00EF247D">
      <w:pPr>
        <w:jc w:val="both"/>
        <w:rPr>
          <w:rFonts w:cs="Arial"/>
          <w:b w:val="0"/>
        </w:rPr>
      </w:pPr>
    </w:p>
    <w:p w14:paraId="0B2D8B23" w14:textId="77777777" w:rsidR="00EF247D" w:rsidRDefault="00EF247D" w:rsidP="00EF247D">
      <w:pPr>
        <w:jc w:val="both"/>
        <w:rPr>
          <w:rFonts w:cs="Arial"/>
          <w:b w:val="0"/>
        </w:rPr>
      </w:pPr>
      <w:r w:rsidRPr="00553214">
        <w:rPr>
          <w:rFonts w:cs="Arial"/>
          <w:b w:val="0"/>
        </w:rPr>
        <w:t xml:space="preserve">Asimismo, los municipios son los entes competentes encargados de emitir el concepto de uso del suelo para los predios correspondientes, función que recae en las secretarías de Planeación de cada </w:t>
      </w:r>
      <w:r>
        <w:rPr>
          <w:rFonts w:cs="Arial"/>
          <w:b w:val="0"/>
        </w:rPr>
        <w:t>uno de ellos</w:t>
      </w:r>
      <w:r w:rsidRPr="00553214">
        <w:rPr>
          <w:rFonts w:cs="Arial"/>
          <w:b w:val="0"/>
        </w:rPr>
        <w:t>. Estas dependencias deben informar a los interesados sobre los usos permitidos en un predio o edificación, conforme a las normas urbanísticas establecidas para guiar y gestionar el desarrollo físico, en línea con el Plan de Ordenamiento Territorial vigente.</w:t>
      </w:r>
    </w:p>
    <w:p w14:paraId="4385F38E" w14:textId="77777777" w:rsidR="00165010" w:rsidRDefault="00165010" w:rsidP="00EF247D">
      <w:pPr>
        <w:jc w:val="both"/>
        <w:rPr>
          <w:rFonts w:cs="Arial"/>
          <w:b w:val="0"/>
        </w:rPr>
      </w:pPr>
    </w:p>
    <w:p w14:paraId="355C3CAE" w14:textId="77777777" w:rsidR="00EF247D" w:rsidRPr="007A20B1" w:rsidRDefault="00EF247D" w:rsidP="00EF247D">
      <w:pPr>
        <w:jc w:val="both"/>
        <w:rPr>
          <w:rFonts w:cs="Arial"/>
          <w:b w:val="0"/>
        </w:rPr>
      </w:pPr>
      <w:r w:rsidRPr="007A20B1">
        <w:rPr>
          <w:rFonts w:cs="Arial"/>
          <w:b w:val="0"/>
        </w:rPr>
        <w:lastRenderedPageBreak/>
        <w:t>De igual manera y en atención a la solicitud, se detalla la zonificación ambiental a la que pertenece</w:t>
      </w:r>
      <w:r>
        <w:rPr>
          <w:rFonts w:cs="Arial"/>
          <w:b w:val="0"/>
        </w:rPr>
        <w:t>n</w:t>
      </w:r>
      <w:r w:rsidRPr="007A20B1">
        <w:rPr>
          <w:rFonts w:cs="Arial"/>
          <w:b w:val="0"/>
        </w:rPr>
        <w:t xml:space="preserve"> </w:t>
      </w:r>
      <w:r>
        <w:rPr>
          <w:rFonts w:cs="Arial"/>
          <w:b w:val="0"/>
        </w:rPr>
        <w:t>los</w:t>
      </w:r>
      <w:r w:rsidRPr="007A20B1">
        <w:rPr>
          <w:rFonts w:cs="Arial"/>
          <w:b w:val="0"/>
        </w:rPr>
        <w:t xml:space="preserve"> predio</w:t>
      </w:r>
      <w:r>
        <w:rPr>
          <w:rFonts w:cs="Arial"/>
          <w:b w:val="0"/>
        </w:rPr>
        <w:t>s</w:t>
      </w:r>
      <w:r w:rsidRPr="007A20B1">
        <w:rPr>
          <w:rFonts w:cs="Arial"/>
          <w:b w:val="0"/>
        </w:rPr>
        <w:t xml:space="preserve"> objeto de consulta y las fuentes hídricas con sus respectivos códigos; es importante señalar que la zonificación ambiental suministrada </w:t>
      </w:r>
      <w:r w:rsidRPr="007A20B1">
        <w:rPr>
          <w:rFonts w:cs="Arial"/>
          <w:u w:val="single"/>
        </w:rPr>
        <w:t>No es un permiso, licencia, ni documento que autorice la realización, ni ejecución de ningún tipo de proyecto (urbanístico, arquitectónico, movimiento de tierra, aprovechamiento forestal y demás)</w:t>
      </w:r>
      <w:r w:rsidRPr="007A20B1">
        <w:rPr>
          <w:rFonts w:cs="Arial"/>
          <w:b w:val="0"/>
        </w:rPr>
        <w:t>.</w:t>
      </w:r>
    </w:p>
    <w:bookmarkEnd w:id="0"/>
    <w:p w14:paraId="01F26F92" w14:textId="77777777" w:rsidR="00EF247D" w:rsidRDefault="00EF247D" w:rsidP="00EF247D">
      <w:pPr>
        <w:jc w:val="both"/>
        <w:rPr>
          <w:rFonts w:cs="Arial"/>
          <w:b w:val="0"/>
        </w:rPr>
      </w:pPr>
    </w:p>
    <w:p w14:paraId="4CAEE0C5" w14:textId="77777777" w:rsidR="00EF247D" w:rsidRPr="00AF5E65" w:rsidRDefault="00EF247D" w:rsidP="00EF247D">
      <w:pPr>
        <w:rPr>
          <w:rFonts w:eastAsiaTheme="minorHAnsi" w:cs="Arial"/>
          <w:b w:val="0"/>
          <w:lang w:val="es-ES"/>
        </w:rPr>
      </w:pPr>
      <w:r w:rsidRPr="00AF5E65">
        <w:rPr>
          <w:rFonts w:eastAsiaTheme="minorHAnsi" w:cs="Arial"/>
          <w:b w:val="0"/>
          <w:lang w:val="es-ES"/>
        </w:rPr>
        <w:t>Atentamente,</w:t>
      </w:r>
    </w:p>
    <w:p w14:paraId="6BF1D044" w14:textId="77777777" w:rsidR="00EF247D" w:rsidRDefault="00EF247D" w:rsidP="00EF247D">
      <w:pPr>
        <w:jc w:val="both"/>
        <w:rPr>
          <w:rFonts w:cs="Arial"/>
          <w:b w:val="0"/>
          <w:sz w:val="24"/>
          <w:szCs w:val="24"/>
        </w:rPr>
      </w:pPr>
    </w:p>
    <w:p w14:paraId="36CFA45C" w14:textId="77777777" w:rsidR="00EF247D" w:rsidRDefault="00EF247D" w:rsidP="00EF247D">
      <w:pPr>
        <w:jc w:val="both"/>
        <w:rPr>
          <w:rFonts w:cs="Arial"/>
          <w:b w:val="0"/>
          <w:sz w:val="24"/>
          <w:szCs w:val="24"/>
        </w:rPr>
      </w:pPr>
    </w:p>
    <w:p w14:paraId="56E12760" w14:textId="77777777" w:rsidR="00EF247D" w:rsidRDefault="00EF247D" w:rsidP="00EF247D">
      <w:pPr>
        <w:jc w:val="both"/>
        <w:rPr>
          <w:rFonts w:cs="Arial"/>
          <w:b w:val="0"/>
          <w:sz w:val="24"/>
          <w:szCs w:val="24"/>
        </w:rPr>
      </w:pPr>
    </w:p>
    <w:p w14:paraId="16B0726E" w14:textId="77777777" w:rsidR="00EF247D" w:rsidRDefault="00EF247D" w:rsidP="00EF247D">
      <w:pPr>
        <w:jc w:val="both"/>
        <w:rPr>
          <w:rFonts w:cs="Arial"/>
          <w:b w:val="0"/>
          <w:sz w:val="24"/>
          <w:szCs w:val="24"/>
        </w:rPr>
      </w:pPr>
    </w:p>
    <w:p w14:paraId="0A22B6AA" w14:textId="77777777" w:rsidR="00EF247D" w:rsidRPr="000A1A2E" w:rsidRDefault="00EF247D" w:rsidP="00EF247D">
      <w:pPr>
        <w:jc w:val="both"/>
        <w:rPr>
          <w:rFonts w:cs="Arial"/>
          <w:b w:val="0"/>
          <w:sz w:val="24"/>
          <w:szCs w:val="24"/>
        </w:rPr>
      </w:pPr>
    </w:p>
    <w:p w14:paraId="70C63CEB" w14:textId="77777777" w:rsidR="00EF247D" w:rsidRPr="000A1A2E" w:rsidRDefault="00EF247D" w:rsidP="00EF247D">
      <w:pPr>
        <w:jc w:val="both"/>
        <w:rPr>
          <w:rFonts w:cs="Arial"/>
        </w:rPr>
      </w:pPr>
      <w:r w:rsidRPr="000A1A2E">
        <w:rPr>
          <w:rFonts w:cs="Arial"/>
        </w:rPr>
        <w:t>LEONEL ENRIQUE HERRERA ROA</w:t>
      </w:r>
    </w:p>
    <w:p w14:paraId="001C072D" w14:textId="77777777" w:rsidR="00EF247D" w:rsidRPr="000A1A2E" w:rsidRDefault="00EF247D" w:rsidP="00EF247D">
      <w:pPr>
        <w:jc w:val="both"/>
        <w:rPr>
          <w:rFonts w:cs="Arial"/>
          <w:bCs/>
        </w:rPr>
      </w:pPr>
      <w:r w:rsidRPr="000A1A2E">
        <w:rPr>
          <w:rFonts w:cs="Arial"/>
          <w:b w:val="0"/>
        </w:rPr>
        <w:t>Subdirector de Ordenamiento y Planificación Integral del Territorio-SOPIT</w:t>
      </w:r>
    </w:p>
    <w:p w14:paraId="4E4BE9F1" w14:textId="77777777" w:rsidR="00EF247D" w:rsidRPr="002D73D7" w:rsidRDefault="00EF247D" w:rsidP="00EF247D">
      <w:pPr>
        <w:tabs>
          <w:tab w:val="left" w:pos="851"/>
        </w:tabs>
        <w:ind w:left="708" w:hanging="708"/>
        <w:jc w:val="both"/>
        <w:rPr>
          <w:rFonts w:cs="Arial"/>
          <w:b w:val="0"/>
          <w:bCs/>
          <w:color w:val="000000"/>
          <w:sz w:val="16"/>
          <w:szCs w:val="16"/>
        </w:rPr>
      </w:pPr>
    </w:p>
    <w:p w14:paraId="515A9CEA" w14:textId="0366C945" w:rsidR="00EF247D" w:rsidRDefault="00EF247D" w:rsidP="00EF247D">
      <w:pPr>
        <w:tabs>
          <w:tab w:val="left" w:pos="851"/>
        </w:tabs>
        <w:ind w:left="708" w:hanging="708"/>
        <w:jc w:val="both"/>
        <w:rPr>
          <w:rFonts w:cs="Arial"/>
          <w:b w:val="0"/>
          <w:color w:val="000000"/>
          <w:sz w:val="16"/>
          <w:szCs w:val="16"/>
        </w:rPr>
      </w:pPr>
      <w:r w:rsidRPr="000A1A2E">
        <w:rPr>
          <w:rFonts w:cs="Arial"/>
          <w:color w:val="000000"/>
          <w:sz w:val="16"/>
          <w:szCs w:val="16"/>
        </w:rPr>
        <w:t>Anexos:</w:t>
      </w:r>
      <w:r w:rsidRPr="000A1A2E">
        <w:rPr>
          <w:rFonts w:cs="Arial"/>
          <w:color w:val="000000"/>
          <w:sz w:val="16"/>
          <w:szCs w:val="16"/>
        </w:rPr>
        <w:tab/>
      </w:r>
      <w:r w:rsidRPr="000A1A2E">
        <w:rPr>
          <w:rFonts w:cs="Arial"/>
          <w:b w:val="0"/>
          <w:color w:val="000000"/>
          <w:sz w:val="16"/>
          <w:szCs w:val="16"/>
        </w:rPr>
        <w:t>01.</w:t>
      </w:r>
      <w:r w:rsidRPr="000A1A2E">
        <w:rPr>
          <w:rFonts w:ascii="Calibri" w:hAnsi="Calibri"/>
          <w:b w:val="0"/>
        </w:rPr>
        <w:t xml:space="preserve"> </w:t>
      </w:r>
      <w:r w:rsidRPr="000A1A2E">
        <w:rPr>
          <w:rFonts w:cs="Arial"/>
          <w:b w:val="0"/>
          <w:color w:val="000000"/>
          <w:sz w:val="16"/>
          <w:szCs w:val="16"/>
        </w:rPr>
        <w:t xml:space="preserve">Salida Cartográfica Zonificación </w:t>
      </w:r>
      <w:r w:rsidR="00152C4A" w:rsidRPr="00152C4A">
        <w:rPr>
          <w:rFonts w:cs="Arial"/>
          <w:b w:val="0"/>
          <w:color w:val="000000"/>
          <w:sz w:val="16"/>
          <w:szCs w:val="16"/>
        </w:rPr>
        <w:t xml:space="preserve">POMCA RIO LEBRIJA MEDIO, adoptado mediante Resolución Conjunta CDMB </w:t>
      </w:r>
      <w:proofErr w:type="spellStart"/>
      <w:r w:rsidR="00152C4A" w:rsidRPr="00152C4A">
        <w:rPr>
          <w:rFonts w:cs="Arial"/>
          <w:b w:val="0"/>
          <w:color w:val="000000"/>
          <w:sz w:val="16"/>
          <w:szCs w:val="16"/>
        </w:rPr>
        <w:t>N°</w:t>
      </w:r>
      <w:proofErr w:type="spellEnd"/>
      <w:r w:rsidR="00152C4A" w:rsidRPr="00152C4A">
        <w:rPr>
          <w:rFonts w:cs="Arial"/>
          <w:b w:val="0"/>
          <w:color w:val="000000"/>
          <w:sz w:val="16"/>
          <w:szCs w:val="16"/>
        </w:rPr>
        <w:t xml:space="preserve"> 1728 de 27 de diciembre de 2019</w:t>
      </w:r>
      <w:r w:rsidR="00152C4A" w:rsidRPr="00152C4A">
        <w:rPr>
          <w:rFonts w:cs="Arial"/>
          <w:b w:val="0"/>
          <w:color w:val="000000"/>
          <w:sz w:val="16"/>
          <w:szCs w:val="16"/>
        </w:rPr>
        <w:t xml:space="preserve"> </w:t>
      </w:r>
      <w:r w:rsidRPr="000A1A2E">
        <w:rPr>
          <w:rFonts w:cs="Arial"/>
          <w:b w:val="0"/>
          <w:color w:val="000000"/>
          <w:sz w:val="16"/>
          <w:szCs w:val="16"/>
        </w:rPr>
        <w:t>(</w:t>
      </w:r>
      <w:r w:rsidR="00754911" w:rsidRPr="00754911">
        <w:rPr>
          <w:rFonts w:cs="Arial"/>
          <w:b w:val="0"/>
          <w:color w:val="000000"/>
          <w:sz w:val="16"/>
          <w:szCs w:val="16"/>
        </w:rPr>
        <w:t>00-01-0007-0110-000, Municipio El Playón</w:t>
      </w:r>
      <w:r>
        <w:rPr>
          <w:rFonts w:cs="Arial"/>
          <w:b w:val="0"/>
          <w:color w:val="000000"/>
          <w:sz w:val="16"/>
          <w:szCs w:val="16"/>
        </w:rPr>
        <w:t>, Santander</w:t>
      </w:r>
      <w:r w:rsidRPr="000A1A2E">
        <w:rPr>
          <w:rFonts w:cs="Arial"/>
          <w:b w:val="0"/>
          <w:color w:val="000000"/>
          <w:sz w:val="16"/>
          <w:szCs w:val="16"/>
        </w:rPr>
        <w:t>).</w:t>
      </w:r>
    </w:p>
    <w:p w14:paraId="2F902ABD" w14:textId="77777777" w:rsidR="00952043" w:rsidRPr="000A1A2E" w:rsidRDefault="00952043" w:rsidP="00EF247D">
      <w:pPr>
        <w:tabs>
          <w:tab w:val="left" w:pos="851"/>
        </w:tabs>
        <w:ind w:left="708" w:hanging="708"/>
        <w:jc w:val="both"/>
        <w:rPr>
          <w:rFonts w:cs="Arial"/>
          <w:b w:val="0"/>
          <w:bCs/>
          <w:sz w:val="16"/>
          <w:szCs w:val="16"/>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51"/>
        <w:gridCol w:w="2989"/>
        <w:gridCol w:w="3160"/>
        <w:gridCol w:w="1394"/>
      </w:tblGrid>
      <w:tr w:rsidR="00B817F0" w:rsidRPr="00B817F0" w14:paraId="416AF6FF" w14:textId="77777777" w:rsidTr="0095246A">
        <w:tc>
          <w:tcPr>
            <w:tcW w:w="985" w:type="pct"/>
            <w:tcBorders>
              <w:top w:val="single" w:sz="4" w:space="0" w:color="000000"/>
              <w:left w:val="single" w:sz="4" w:space="0" w:color="000000"/>
              <w:right w:val="single" w:sz="4" w:space="0" w:color="000000"/>
            </w:tcBorders>
            <w:hideMark/>
          </w:tcPr>
          <w:p w14:paraId="3D71CB6B" w14:textId="77777777" w:rsidR="00B817F0" w:rsidRPr="00B817F0" w:rsidRDefault="00B817F0" w:rsidP="00B817F0">
            <w:pPr>
              <w:rPr>
                <w:rFonts w:eastAsia="Arial" w:cs="Arial"/>
                <w:b w:val="0"/>
                <w:sz w:val="16"/>
                <w:szCs w:val="16"/>
              </w:rPr>
            </w:pPr>
            <w:r w:rsidRPr="00B817F0">
              <w:rPr>
                <w:rFonts w:eastAsia="Arial" w:cs="Arial"/>
                <w:b w:val="0"/>
                <w:sz w:val="16"/>
                <w:szCs w:val="16"/>
              </w:rPr>
              <w:t>Proyección Técnica:</w:t>
            </w:r>
          </w:p>
        </w:tc>
        <w:tc>
          <w:tcPr>
            <w:tcW w:w="1591" w:type="pct"/>
            <w:tcBorders>
              <w:top w:val="single" w:sz="4" w:space="0" w:color="000000"/>
              <w:left w:val="single" w:sz="4" w:space="0" w:color="000000"/>
              <w:bottom w:val="single" w:sz="4" w:space="0" w:color="000000"/>
              <w:right w:val="single" w:sz="4" w:space="0" w:color="000000"/>
            </w:tcBorders>
          </w:tcPr>
          <w:p w14:paraId="51958B15" w14:textId="77777777" w:rsidR="00B817F0" w:rsidRPr="00B817F0" w:rsidRDefault="00B817F0" w:rsidP="00B817F0">
            <w:pPr>
              <w:rPr>
                <w:rFonts w:eastAsia="Arial" w:cs="Arial"/>
                <w:b w:val="0"/>
                <w:sz w:val="16"/>
                <w:szCs w:val="16"/>
              </w:rPr>
            </w:pPr>
            <w:r w:rsidRPr="00B817F0">
              <w:rPr>
                <w:rFonts w:eastAsia="Arial" w:cs="Arial"/>
                <w:b w:val="0"/>
                <w:sz w:val="16"/>
                <w:szCs w:val="16"/>
              </w:rPr>
              <w:t xml:space="preserve">Juan Guillermo Correa Mendoza </w:t>
            </w:r>
          </w:p>
        </w:tc>
        <w:tc>
          <w:tcPr>
            <w:tcW w:w="1682" w:type="pct"/>
            <w:tcBorders>
              <w:top w:val="single" w:sz="4" w:space="0" w:color="000000"/>
              <w:left w:val="single" w:sz="4" w:space="0" w:color="000000"/>
              <w:bottom w:val="single" w:sz="4" w:space="0" w:color="000000"/>
              <w:right w:val="single" w:sz="4" w:space="0" w:color="000000"/>
            </w:tcBorders>
          </w:tcPr>
          <w:p w14:paraId="71057BD8" w14:textId="77777777" w:rsidR="00B817F0" w:rsidRPr="00B817F0" w:rsidRDefault="00B817F0" w:rsidP="00B817F0">
            <w:pPr>
              <w:rPr>
                <w:rFonts w:eastAsia="Arial" w:cs="Arial"/>
                <w:b w:val="0"/>
                <w:sz w:val="16"/>
                <w:szCs w:val="16"/>
              </w:rPr>
            </w:pPr>
            <w:r w:rsidRPr="00B817F0">
              <w:rPr>
                <w:rFonts w:eastAsia="Arial" w:cs="Arial"/>
                <w:b w:val="0"/>
                <w:sz w:val="16"/>
                <w:szCs w:val="16"/>
              </w:rPr>
              <w:t xml:space="preserve">Profesional Contratista SOPIT </w:t>
            </w:r>
          </w:p>
        </w:tc>
        <w:tc>
          <w:tcPr>
            <w:tcW w:w="742" w:type="pct"/>
            <w:tcBorders>
              <w:top w:val="single" w:sz="4" w:space="0" w:color="000000"/>
              <w:left w:val="single" w:sz="4" w:space="0" w:color="000000"/>
              <w:bottom w:val="single" w:sz="4" w:space="0" w:color="000000"/>
              <w:right w:val="single" w:sz="4" w:space="0" w:color="000000"/>
            </w:tcBorders>
            <w:hideMark/>
          </w:tcPr>
          <w:p w14:paraId="7A6CF7CA" w14:textId="77777777" w:rsidR="00B817F0" w:rsidRPr="00B817F0" w:rsidRDefault="00B817F0" w:rsidP="00B817F0">
            <w:pPr>
              <w:rPr>
                <w:rFonts w:eastAsia="Arial" w:cs="Arial"/>
                <w:b w:val="0"/>
                <w:sz w:val="16"/>
                <w:szCs w:val="16"/>
              </w:rPr>
            </w:pPr>
          </w:p>
        </w:tc>
      </w:tr>
      <w:tr w:rsidR="00B817F0" w:rsidRPr="00B817F0" w14:paraId="514FEB16" w14:textId="77777777" w:rsidTr="0095246A">
        <w:tc>
          <w:tcPr>
            <w:tcW w:w="985" w:type="pct"/>
            <w:tcBorders>
              <w:left w:val="single" w:sz="4" w:space="0" w:color="000000"/>
              <w:bottom w:val="single" w:sz="4" w:space="0" w:color="000000"/>
              <w:right w:val="single" w:sz="4" w:space="0" w:color="000000"/>
            </w:tcBorders>
          </w:tcPr>
          <w:p w14:paraId="3F925CCB" w14:textId="77777777" w:rsidR="00B817F0" w:rsidRPr="00B817F0" w:rsidRDefault="00B817F0" w:rsidP="00B817F0">
            <w:pPr>
              <w:rPr>
                <w:rFonts w:eastAsia="Arial" w:cs="Arial"/>
                <w:b w:val="0"/>
                <w:sz w:val="16"/>
                <w:szCs w:val="16"/>
              </w:rPr>
            </w:pPr>
            <w:r w:rsidRPr="00B817F0">
              <w:rPr>
                <w:rFonts w:eastAsia="Arial" w:cs="Arial"/>
                <w:b w:val="0"/>
                <w:sz w:val="16"/>
                <w:szCs w:val="16"/>
              </w:rPr>
              <w:t xml:space="preserve">Proyección Jurídica </w:t>
            </w:r>
          </w:p>
        </w:tc>
        <w:tc>
          <w:tcPr>
            <w:tcW w:w="1591" w:type="pct"/>
            <w:tcBorders>
              <w:top w:val="single" w:sz="4" w:space="0" w:color="000000"/>
              <w:left w:val="single" w:sz="4" w:space="0" w:color="000000"/>
              <w:bottom w:val="single" w:sz="4" w:space="0" w:color="000000"/>
              <w:right w:val="single" w:sz="4" w:space="0" w:color="000000"/>
            </w:tcBorders>
          </w:tcPr>
          <w:p w14:paraId="6CFEAE83" w14:textId="77777777" w:rsidR="00B817F0" w:rsidRPr="00B817F0" w:rsidRDefault="00B817F0" w:rsidP="00B817F0">
            <w:pPr>
              <w:rPr>
                <w:rFonts w:eastAsiaTheme="minorHAnsi" w:cs="Arial"/>
                <w:b w:val="0"/>
                <w:sz w:val="16"/>
                <w:szCs w:val="16"/>
              </w:rPr>
            </w:pPr>
            <w:r w:rsidRPr="00B817F0">
              <w:rPr>
                <w:rFonts w:eastAsiaTheme="minorHAnsi" w:cs="Arial"/>
                <w:b w:val="0"/>
                <w:sz w:val="16"/>
                <w:szCs w:val="16"/>
              </w:rPr>
              <w:t xml:space="preserve">Laura Calderón Chamorro </w:t>
            </w:r>
          </w:p>
        </w:tc>
        <w:tc>
          <w:tcPr>
            <w:tcW w:w="1682" w:type="pct"/>
            <w:tcBorders>
              <w:top w:val="single" w:sz="4" w:space="0" w:color="000000"/>
              <w:left w:val="single" w:sz="4" w:space="0" w:color="000000"/>
              <w:bottom w:val="single" w:sz="4" w:space="0" w:color="000000"/>
              <w:right w:val="single" w:sz="4" w:space="0" w:color="000000"/>
            </w:tcBorders>
          </w:tcPr>
          <w:p w14:paraId="0179BE78" w14:textId="77777777" w:rsidR="00B817F0" w:rsidRPr="00B817F0" w:rsidRDefault="00B817F0" w:rsidP="00B817F0">
            <w:pPr>
              <w:rPr>
                <w:rFonts w:eastAsia="Arial" w:cs="Arial"/>
                <w:b w:val="0"/>
                <w:sz w:val="16"/>
                <w:szCs w:val="16"/>
              </w:rPr>
            </w:pPr>
            <w:r w:rsidRPr="00B817F0">
              <w:rPr>
                <w:rFonts w:eastAsia="Arial" w:cs="Arial"/>
                <w:b w:val="0"/>
                <w:sz w:val="16"/>
                <w:szCs w:val="16"/>
              </w:rPr>
              <w:t xml:space="preserve">Profesional Contratista SOPIT </w:t>
            </w:r>
          </w:p>
        </w:tc>
        <w:tc>
          <w:tcPr>
            <w:tcW w:w="742" w:type="pct"/>
            <w:tcBorders>
              <w:top w:val="single" w:sz="4" w:space="0" w:color="000000"/>
              <w:left w:val="single" w:sz="4" w:space="0" w:color="000000"/>
              <w:bottom w:val="single" w:sz="4" w:space="0" w:color="000000"/>
              <w:right w:val="single" w:sz="4" w:space="0" w:color="000000"/>
            </w:tcBorders>
          </w:tcPr>
          <w:p w14:paraId="368CC435" w14:textId="77777777" w:rsidR="00B817F0" w:rsidRPr="00B817F0" w:rsidRDefault="00B817F0" w:rsidP="00B817F0">
            <w:pPr>
              <w:rPr>
                <w:rFonts w:eastAsia="Arial" w:cs="Arial"/>
                <w:b w:val="0"/>
                <w:sz w:val="16"/>
                <w:szCs w:val="16"/>
              </w:rPr>
            </w:pPr>
          </w:p>
        </w:tc>
      </w:tr>
      <w:tr w:rsidR="00B817F0" w:rsidRPr="00B817F0" w14:paraId="54FBC9F2" w14:textId="77777777" w:rsidTr="0095246A">
        <w:tc>
          <w:tcPr>
            <w:tcW w:w="985" w:type="pct"/>
            <w:tcBorders>
              <w:left w:val="single" w:sz="4" w:space="0" w:color="000000"/>
              <w:bottom w:val="single" w:sz="4" w:space="0" w:color="000000"/>
              <w:right w:val="single" w:sz="4" w:space="0" w:color="000000"/>
            </w:tcBorders>
          </w:tcPr>
          <w:p w14:paraId="01FA9B64" w14:textId="77777777" w:rsidR="00B817F0" w:rsidRPr="00B817F0" w:rsidRDefault="00B817F0" w:rsidP="00B817F0">
            <w:pPr>
              <w:rPr>
                <w:rFonts w:eastAsia="Arial" w:cs="Arial"/>
                <w:b w:val="0"/>
                <w:sz w:val="16"/>
                <w:szCs w:val="16"/>
              </w:rPr>
            </w:pPr>
            <w:r w:rsidRPr="00B817F0">
              <w:rPr>
                <w:rFonts w:eastAsia="Arial" w:cs="Arial"/>
                <w:b w:val="0"/>
                <w:sz w:val="16"/>
                <w:szCs w:val="16"/>
              </w:rPr>
              <w:t>Revisó:</w:t>
            </w:r>
          </w:p>
        </w:tc>
        <w:tc>
          <w:tcPr>
            <w:tcW w:w="1591" w:type="pct"/>
            <w:tcBorders>
              <w:top w:val="single" w:sz="4" w:space="0" w:color="000000"/>
              <w:left w:val="single" w:sz="4" w:space="0" w:color="000000"/>
              <w:bottom w:val="single" w:sz="4" w:space="0" w:color="000000"/>
              <w:right w:val="single" w:sz="4" w:space="0" w:color="000000"/>
            </w:tcBorders>
          </w:tcPr>
          <w:p w14:paraId="0627EA21" w14:textId="77777777" w:rsidR="00B817F0" w:rsidRPr="00B817F0" w:rsidRDefault="00B817F0" w:rsidP="00B817F0">
            <w:pPr>
              <w:rPr>
                <w:rFonts w:eastAsiaTheme="minorHAnsi" w:cs="Arial"/>
                <w:b w:val="0"/>
                <w:sz w:val="16"/>
                <w:szCs w:val="16"/>
              </w:rPr>
            </w:pPr>
            <w:r w:rsidRPr="00B817F0">
              <w:rPr>
                <w:rFonts w:eastAsiaTheme="minorHAnsi" w:cs="Arial"/>
                <w:b w:val="0"/>
                <w:sz w:val="16"/>
                <w:szCs w:val="16"/>
              </w:rPr>
              <w:t>Laura Marcela Beltrán Mantilla</w:t>
            </w:r>
          </w:p>
        </w:tc>
        <w:tc>
          <w:tcPr>
            <w:tcW w:w="1682" w:type="pct"/>
            <w:tcBorders>
              <w:top w:val="single" w:sz="4" w:space="0" w:color="000000"/>
              <w:left w:val="single" w:sz="4" w:space="0" w:color="000000"/>
              <w:bottom w:val="single" w:sz="4" w:space="0" w:color="000000"/>
              <w:right w:val="single" w:sz="4" w:space="0" w:color="000000"/>
            </w:tcBorders>
          </w:tcPr>
          <w:p w14:paraId="444D9A34" w14:textId="77777777" w:rsidR="00B817F0" w:rsidRPr="00B817F0" w:rsidRDefault="00B817F0" w:rsidP="00B817F0">
            <w:pPr>
              <w:rPr>
                <w:rFonts w:eastAsia="Arial" w:cs="Arial"/>
                <w:b w:val="0"/>
                <w:sz w:val="16"/>
                <w:szCs w:val="16"/>
              </w:rPr>
            </w:pPr>
            <w:r w:rsidRPr="00B817F0">
              <w:rPr>
                <w:rFonts w:eastAsia="Arial" w:cs="Arial"/>
                <w:b w:val="0"/>
                <w:sz w:val="16"/>
                <w:szCs w:val="16"/>
              </w:rPr>
              <w:t>Profesional Especializada SOPIT CDMB</w:t>
            </w:r>
          </w:p>
        </w:tc>
        <w:tc>
          <w:tcPr>
            <w:tcW w:w="742" w:type="pct"/>
            <w:tcBorders>
              <w:top w:val="single" w:sz="4" w:space="0" w:color="000000"/>
              <w:left w:val="single" w:sz="4" w:space="0" w:color="000000"/>
              <w:bottom w:val="single" w:sz="4" w:space="0" w:color="000000"/>
              <w:right w:val="single" w:sz="4" w:space="0" w:color="000000"/>
            </w:tcBorders>
          </w:tcPr>
          <w:p w14:paraId="70219FC9" w14:textId="77777777" w:rsidR="00B817F0" w:rsidRPr="00B817F0" w:rsidRDefault="00B817F0" w:rsidP="00B817F0">
            <w:pPr>
              <w:rPr>
                <w:rFonts w:eastAsia="Arial" w:cs="Arial"/>
                <w:b w:val="0"/>
                <w:sz w:val="16"/>
                <w:szCs w:val="16"/>
              </w:rPr>
            </w:pPr>
          </w:p>
        </w:tc>
      </w:tr>
      <w:tr w:rsidR="00B817F0" w:rsidRPr="00B817F0" w14:paraId="2A8116E9" w14:textId="77777777" w:rsidTr="0095246A">
        <w:tc>
          <w:tcPr>
            <w:tcW w:w="985" w:type="pct"/>
            <w:tcBorders>
              <w:top w:val="single" w:sz="4" w:space="0" w:color="000000"/>
              <w:left w:val="single" w:sz="4" w:space="0" w:color="000000"/>
              <w:bottom w:val="single" w:sz="4" w:space="0" w:color="000000"/>
              <w:right w:val="single" w:sz="4" w:space="0" w:color="000000"/>
            </w:tcBorders>
            <w:hideMark/>
          </w:tcPr>
          <w:p w14:paraId="5A7F205B" w14:textId="77777777" w:rsidR="00B817F0" w:rsidRPr="00B817F0" w:rsidRDefault="00B817F0" w:rsidP="00B817F0">
            <w:pPr>
              <w:rPr>
                <w:rFonts w:eastAsia="Arial" w:cs="Arial"/>
                <w:b w:val="0"/>
                <w:sz w:val="16"/>
                <w:szCs w:val="16"/>
              </w:rPr>
            </w:pPr>
            <w:r w:rsidRPr="00B817F0">
              <w:rPr>
                <w:rFonts w:eastAsia="Arial" w:cs="Arial"/>
                <w:b w:val="0"/>
                <w:sz w:val="16"/>
                <w:szCs w:val="16"/>
              </w:rPr>
              <w:t>Oficina Responsable:</w:t>
            </w:r>
          </w:p>
        </w:tc>
        <w:tc>
          <w:tcPr>
            <w:tcW w:w="4015" w:type="pct"/>
            <w:gridSpan w:val="3"/>
            <w:tcBorders>
              <w:top w:val="single" w:sz="4" w:space="0" w:color="000000"/>
              <w:left w:val="single" w:sz="4" w:space="0" w:color="000000"/>
              <w:bottom w:val="single" w:sz="4" w:space="0" w:color="000000"/>
              <w:right w:val="single" w:sz="4" w:space="0" w:color="000000"/>
            </w:tcBorders>
            <w:hideMark/>
          </w:tcPr>
          <w:p w14:paraId="5A091BEC" w14:textId="77777777" w:rsidR="00B817F0" w:rsidRPr="00B817F0" w:rsidRDefault="00B817F0" w:rsidP="00B817F0">
            <w:pPr>
              <w:rPr>
                <w:rFonts w:eastAsia="Arial" w:cs="Arial"/>
                <w:b w:val="0"/>
                <w:sz w:val="16"/>
                <w:szCs w:val="16"/>
              </w:rPr>
            </w:pPr>
            <w:r w:rsidRPr="00B817F0">
              <w:rPr>
                <w:rFonts w:eastAsia="Arial" w:cs="Arial"/>
                <w:b w:val="0"/>
                <w:sz w:val="16"/>
                <w:szCs w:val="16"/>
              </w:rPr>
              <w:t>Subdirección de Ordenamiento y Planificación Integral del Territorio -SOPIT</w:t>
            </w:r>
          </w:p>
        </w:tc>
      </w:tr>
    </w:tbl>
    <w:p w14:paraId="69218ADC" w14:textId="77777777" w:rsidR="00EF247D" w:rsidRDefault="00EF247D" w:rsidP="00EF247D">
      <w:pPr>
        <w:rPr>
          <w:rFonts w:eastAsiaTheme="minorHAnsi" w:cs="Arial"/>
          <w:b w:val="0"/>
          <w:noProof/>
          <w:lang w:eastAsia="es-CO"/>
        </w:rPr>
      </w:pPr>
    </w:p>
    <w:p w14:paraId="498ADB00" w14:textId="32631472" w:rsidR="00D97E49" w:rsidRDefault="00D97E49">
      <w:pPr>
        <w:spacing w:after="160" w:line="259" w:lineRule="auto"/>
        <w:rPr>
          <w:rFonts w:cs="Arial"/>
          <w:b w:val="0"/>
        </w:rPr>
      </w:pPr>
      <w:r>
        <w:rPr>
          <w:rFonts w:cs="Arial"/>
          <w:b w:val="0"/>
        </w:rPr>
        <w:br w:type="page"/>
      </w:r>
    </w:p>
    <w:p w14:paraId="1E1425EB" w14:textId="3311275F" w:rsidR="00AF79CE" w:rsidRDefault="00D97E49" w:rsidP="00FB217C">
      <w:pPr>
        <w:jc w:val="both"/>
        <w:rPr>
          <w:rFonts w:cs="Arial"/>
          <w:b w:val="0"/>
        </w:rPr>
      </w:pPr>
      <w:r>
        <w:rPr>
          <w:rFonts w:cs="Arial"/>
          <w:b w:val="0"/>
          <w:noProof/>
        </w:rPr>
        <w:lastRenderedPageBreak/>
        <w:drawing>
          <wp:anchor distT="0" distB="0" distL="114300" distR="114300" simplePos="0" relativeHeight="251658240" behindDoc="0" locked="0" layoutInCell="1" allowOverlap="1" wp14:anchorId="34203FC7" wp14:editId="776BF8A9">
            <wp:simplePos x="0" y="0"/>
            <wp:positionH relativeFrom="page">
              <wp:align>right</wp:align>
            </wp:positionH>
            <wp:positionV relativeFrom="paragraph">
              <wp:posOffset>-1260475</wp:posOffset>
            </wp:positionV>
            <wp:extent cx="7764919" cy="10048875"/>
            <wp:effectExtent l="0" t="0" r="7620" b="0"/>
            <wp:wrapNone/>
            <wp:docPr id="17031605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160510" name="Imagen 1703160510"/>
                    <pic:cNvPicPr/>
                  </pic:nvPicPr>
                  <pic:blipFill>
                    <a:blip r:embed="rId9" cstate="print">
                      <a:extLst>
                        <a:ext uri="{28A0092B-C50C-407E-A947-70E740481C1C}">
                          <a14:useLocalDpi xmlns:a14="http://schemas.microsoft.com/office/drawing/2010/main" val="0"/>
                        </a:ext>
                      </a:extLst>
                    </a:blip>
                    <a:stretch>
                      <a:fillRect/>
                    </a:stretch>
                  </pic:blipFill>
                  <pic:spPr>
                    <a:xfrm>
                      <a:off x="0" y="0"/>
                      <a:ext cx="7764919" cy="10048875"/>
                    </a:xfrm>
                    <a:prstGeom prst="rect">
                      <a:avLst/>
                    </a:prstGeom>
                  </pic:spPr>
                </pic:pic>
              </a:graphicData>
            </a:graphic>
            <wp14:sizeRelH relativeFrom="margin">
              <wp14:pctWidth>0</wp14:pctWidth>
            </wp14:sizeRelH>
            <wp14:sizeRelV relativeFrom="margin">
              <wp14:pctHeight>0</wp14:pctHeight>
            </wp14:sizeRelV>
          </wp:anchor>
        </w:drawing>
      </w:r>
    </w:p>
    <w:p w14:paraId="663F89FE" w14:textId="77777777" w:rsidR="00E34DAD" w:rsidRPr="005E4184" w:rsidRDefault="00E34DAD" w:rsidP="00FB217C">
      <w:pPr>
        <w:rPr>
          <w:b w:val="0"/>
          <w:bCs/>
        </w:rPr>
      </w:pPr>
    </w:p>
    <w:sectPr w:rsidR="00E34DAD" w:rsidRPr="005E4184" w:rsidSect="00437403">
      <w:headerReference w:type="default" r:id="rId10"/>
      <w:footerReference w:type="default" r:id="rId11"/>
      <w:pgSz w:w="12240" w:h="15840" w:code="1"/>
      <w:pgMar w:top="1985" w:right="1418" w:bottom="2552" w:left="1418" w:header="142" w:footer="19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04BFD5" w14:textId="77777777" w:rsidR="00FE7D3A" w:rsidRDefault="00FE7D3A" w:rsidP="0024562B">
      <w:r>
        <w:separator/>
      </w:r>
    </w:p>
  </w:endnote>
  <w:endnote w:type="continuationSeparator" w:id="0">
    <w:p w14:paraId="5397371F" w14:textId="77777777" w:rsidR="00FE7D3A" w:rsidRDefault="00FE7D3A" w:rsidP="002456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Lucida Calligraphy">
    <w:altName w:val="Arabic Typesetting"/>
    <w:panose1 w:val="03010101010101010101"/>
    <w:charset w:val="00"/>
    <w:family w:val="script"/>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8B0AB7" w14:textId="480E1810" w:rsidR="00635443" w:rsidRDefault="00635443">
    <w:pPr>
      <w:pStyle w:val="Piedepgina"/>
    </w:pPr>
    <w:r>
      <w:rPr>
        <w:noProof/>
        <w:lang w:eastAsia="es-CO"/>
      </w:rPr>
      <w:drawing>
        <wp:anchor distT="0" distB="0" distL="114300" distR="114300" simplePos="0" relativeHeight="251661312" behindDoc="1" locked="0" layoutInCell="1" allowOverlap="1" wp14:anchorId="5FBDE8D0" wp14:editId="06B5F403">
          <wp:simplePos x="0" y="0"/>
          <wp:positionH relativeFrom="column">
            <wp:posOffset>-922655</wp:posOffset>
          </wp:positionH>
          <wp:positionV relativeFrom="paragraph">
            <wp:posOffset>-1016952</wp:posOffset>
          </wp:positionV>
          <wp:extent cx="7836942" cy="1313747"/>
          <wp:effectExtent l="0" t="0" r="0"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pic:cNvPicPr/>
                </pic:nvPicPr>
                <pic:blipFill>
                  <a:blip r:embed="rId1">
                    <a:extLst>
                      <a:ext uri="{28A0092B-C50C-407E-A947-70E740481C1C}">
                        <a14:useLocalDpi xmlns:a14="http://schemas.microsoft.com/office/drawing/2010/main" val="0"/>
                      </a:ext>
                    </a:extLst>
                  </a:blip>
                  <a:stretch>
                    <a:fillRect/>
                  </a:stretch>
                </pic:blipFill>
                <pic:spPr>
                  <a:xfrm>
                    <a:off x="0" y="0"/>
                    <a:ext cx="7836942" cy="1313747"/>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CE34A6" w14:textId="77777777" w:rsidR="00FE7D3A" w:rsidRDefault="00FE7D3A" w:rsidP="0024562B">
      <w:r>
        <w:separator/>
      </w:r>
    </w:p>
  </w:footnote>
  <w:footnote w:type="continuationSeparator" w:id="0">
    <w:p w14:paraId="75FADD2A" w14:textId="77777777" w:rsidR="00FE7D3A" w:rsidRDefault="00FE7D3A" w:rsidP="002456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6744BD" w14:textId="2270C544" w:rsidR="00635443" w:rsidRDefault="00635443">
    <w:pPr>
      <w:pStyle w:val="Encabezado"/>
    </w:pPr>
    <w:r>
      <w:rPr>
        <w:noProof/>
        <w:lang w:eastAsia="es-CO"/>
      </w:rPr>
      <w:drawing>
        <wp:anchor distT="0" distB="0" distL="114300" distR="114300" simplePos="0" relativeHeight="251660288" behindDoc="1" locked="0" layoutInCell="1" allowOverlap="1" wp14:anchorId="5B4C87FC" wp14:editId="0AC1A2E0">
          <wp:simplePos x="0" y="0"/>
          <wp:positionH relativeFrom="column">
            <wp:posOffset>-914400</wp:posOffset>
          </wp:positionH>
          <wp:positionV relativeFrom="paragraph">
            <wp:posOffset>-104140</wp:posOffset>
          </wp:positionV>
          <wp:extent cx="7711392" cy="1116000"/>
          <wp:effectExtent l="0" t="0" r="0" b="1905"/>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pic:cNvPicPr/>
                </pic:nvPicPr>
                <pic:blipFill>
                  <a:blip r:embed="rId1">
                    <a:extLst>
                      <a:ext uri="{28A0092B-C50C-407E-A947-70E740481C1C}">
                        <a14:useLocalDpi xmlns:a14="http://schemas.microsoft.com/office/drawing/2010/main" val="0"/>
                      </a:ext>
                    </a:extLst>
                  </a:blip>
                  <a:stretch>
                    <a:fillRect/>
                  </a:stretch>
                </pic:blipFill>
                <pic:spPr>
                  <a:xfrm>
                    <a:off x="0" y="0"/>
                    <a:ext cx="7711392" cy="111600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A4511"/>
    <w:multiLevelType w:val="hybridMultilevel"/>
    <w:tmpl w:val="E2E2BD72"/>
    <w:lvl w:ilvl="0" w:tplc="2FB001DE">
      <w:start w:val="1"/>
      <w:numFmt w:val="decimal"/>
      <w:lvlText w:val="%1."/>
      <w:lvlJc w:val="left"/>
      <w:pPr>
        <w:ind w:left="360" w:hanging="360"/>
      </w:pPr>
      <w:rPr>
        <w:rFonts w:hint="default"/>
        <w:b/>
        <w:bCs/>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1" w15:restartNumberingAfterBreak="0">
    <w:nsid w:val="064238BF"/>
    <w:multiLevelType w:val="hybridMultilevel"/>
    <w:tmpl w:val="8372425E"/>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 w15:restartNumberingAfterBreak="0">
    <w:nsid w:val="18D54CE5"/>
    <w:multiLevelType w:val="hybridMultilevel"/>
    <w:tmpl w:val="2B967662"/>
    <w:lvl w:ilvl="0" w:tplc="E19CA8F0">
      <w:numFmt w:val="bullet"/>
      <w:lvlText w:val="-"/>
      <w:lvlJc w:val="left"/>
      <w:pPr>
        <w:ind w:left="360" w:hanging="360"/>
      </w:pPr>
      <w:rPr>
        <w:rFonts w:ascii="Arial" w:eastAsia="Calibri" w:hAnsi="Arial" w:cs="Aria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 w15:restartNumberingAfterBreak="0">
    <w:nsid w:val="213D493F"/>
    <w:multiLevelType w:val="hybridMultilevel"/>
    <w:tmpl w:val="31502B12"/>
    <w:lvl w:ilvl="0" w:tplc="32ECF232">
      <w:start w:val="2"/>
      <w:numFmt w:val="decimalZero"/>
      <w:lvlText w:val="%1."/>
      <w:lvlJc w:val="left"/>
      <w:pPr>
        <w:ind w:left="1065" w:hanging="360"/>
      </w:pPr>
      <w:rPr>
        <w:rFonts w:hint="default"/>
      </w:rPr>
    </w:lvl>
    <w:lvl w:ilvl="1" w:tplc="0C0A0019" w:tentative="1">
      <w:start w:val="1"/>
      <w:numFmt w:val="lowerLetter"/>
      <w:lvlText w:val="%2."/>
      <w:lvlJc w:val="left"/>
      <w:pPr>
        <w:ind w:left="1785" w:hanging="360"/>
      </w:pPr>
    </w:lvl>
    <w:lvl w:ilvl="2" w:tplc="0C0A001B" w:tentative="1">
      <w:start w:val="1"/>
      <w:numFmt w:val="lowerRoman"/>
      <w:lvlText w:val="%3."/>
      <w:lvlJc w:val="right"/>
      <w:pPr>
        <w:ind w:left="2505" w:hanging="180"/>
      </w:pPr>
    </w:lvl>
    <w:lvl w:ilvl="3" w:tplc="0C0A000F" w:tentative="1">
      <w:start w:val="1"/>
      <w:numFmt w:val="decimal"/>
      <w:lvlText w:val="%4."/>
      <w:lvlJc w:val="left"/>
      <w:pPr>
        <w:ind w:left="3225" w:hanging="360"/>
      </w:pPr>
    </w:lvl>
    <w:lvl w:ilvl="4" w:tplc="0C0A0019" w:tentative="1">
      <w:start w:val="1"/>
      <w:numFmt w:val="lowerLetter"/>
      <w:lvlText w:val="%5."/>
      <w:lvlJc w:val="left"/>
      <w:pPr>
        <w:ind w:left="3945" w:hanging="360"/>
      </w:pPr>
    </w:lvl>
    <w:lvl w:ilvl="5" w:tplc="0C0A001B" w:tentative="1">
      <w:start w:val="1"/>
      <w:numFmt w:val="lowerRoman"/>
      <w:lvlText w:val="%6."/>
      <w:lvlJc w:val="right"/>
      <w:pPr>
        <w:ind w:left="4665" w:hanging="180"/>
      </w:pPr>
    </w:lvl>
    <w:lvl w:ilvl="6" w:tplc="0C0A000F" w:tentative="1">
      <w:start w:val="1"/>
      <w:numFmt w:val="decimal"/>
      <w:lvlText w:val="%7."/>
      <w:lvlJc w:val="left"/>
      <w:pPr>
        <w:ind w:left="5385" w:hanging="360"/>
      </w:pPr>
    </w:lvl>
    <w:lvl w:ilvl="7" w:tplc="0C0A0019" w:tentative="1">
      <w:start w:val="1"/>
      <w:numFmt w:val="lowerLetter"/>
      <w:lvlText w:val="%8."/>
      <w:lvlJc w:val="left"/>
      <w:pPr>
        <w:ind w:left="6105" w:hanging="360"/>
      </w:pPr>
    </w:lvl>
    <w:lvl w:ilvl="8" w:tplc="0C0A001B" w:tentative="1">
      <w:start w:val="1"/>
      <w:numFmt w:val="lowerRoman"/>
      <w:lvlText w:val="%9."/>
      <w:lvlJc w:val="right"/>
      <w:pPr>
        <w:ind w:left="6825" w:hanging="180"/>
      </w:pPr>
    </w:lvl>
  </w:abstractNum>
  <w:abstractNum w:abstractNumId="4" w15:restartNumberingAfterBreak="0">
    <w:nsid w:val="262D5564"/>
    <w:multiLevelType w:val="hybridMultilevel"/>
    <w:tmpl w:val="51CEC146"/>
    <w:lvl w:ilvl="0" w:tplc="6AC0BE36">
      <w:start w:val="1"/>
      <w:numFmt w:val="upperRoman"/>
      <w:lvlText w:val="%1."/>
      <w:lvlJc w:val="left"/>
      <w:pPr>
        <w:ind w:left="1080" w:hanging="72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5" w15:restartNumberingAfterBreak="0">
    <w:nsid w:val="42045BA7"/>
    <w:multiLevelType w:val="hybridMultilevel"/>
    <w:tmpl w:val="D688C66C"/>
    <w:lvl w:ilvl="0" w:tplc="941EE258">
      <w:numFmt w:val="decimal"/>
      <w:lvlText w:val="%1."/>
      <w:lvlJc w:val="left"/>
      <w:pPr>
        <w:ind w:left="1065" w:hanging="360"/>
      </w:pPr>
      <w:rPr>
        <w:rFonts w:eastAsiaTheme="minorHAnsi" w:cstheme="minorBidi" w:hint="default"/>
        <w:b/>
        <w:sz w:val="16"/>
      </w:rPr>
    </w:lvl>
    <w:lvl w:ilvl="1" w:tplc="240A0019" w:tentative="1">
      <w:start w:val="1"/>
      <w:numFmt w:val="lowerLetter"/>
      <w:lvlText w:val="%2."/>
      <w:lvlJc w:val="left"/>
      <w:pPr>
        <w:ind w:left="1785" w:hanging="360"/>
      </w:pPr>
    </w:lvl>
    <w:lvl w:ilvl="2" w:tplc="240A001B" w:tentative="1">
      <w:start w:val="1"/>
      <w:numFmt w:val="lowerRoman"/>
      <w:lvlText w:val="%3."/>
      <w:lvlJc w:val="right"/>
      <w:pPr>
        <w:ind w:left="2505" w:hanging="180"/>
      </w:pPr>
    </w:lvl>
    <w:lvl w:ilvl="3" w:tplc="240A000F" w:tentative="1">
      <w:start w:val="1"/>
      <w:numFmt w:val="decimal"/>
      <w:lvlText w:val="%4."/>
      <w:lvlJc w:val="left"/>
      <w:pPr>
        <w:ind w:left="3225" w:hanging="360"/>
      </w:pPr>
    </w:lvl>
    <w:lvl w:ilvl="4" w:tplc="240A0019" w:tentative="1">
      <w:start w:val="1"/>
      <w:numFmt w:val="lowerLetter"/>
      <w:lvlText w:val="%5."/>
      <w:lvlJc w:val="left"/>
      <w:pPr>
        <w:ind w:left="3945" w:hanging="360"/>
      </w:pPr>
    </w:lvl>
    <w:lvl w:ilvl="5" w:tplc="240A001B" w:tentative="1">
      <w:start w:val="1"/>
      <w:numFmt w:val="lowerRoman"/>
      <w:lvlText w:val="%6."/>
      <w:lvlJc w:val="right"/>
      <w:pPr>
        <w:ind w:left="4665" w:hanging="180"/>
      </w:pPr>
    </w:lvl>
    <w:lvl w:ilvl="6" w:tplc="240A000F" w:tentative="1">
      <w:start w:val="1"/>
      <w:numFmt w:val="decimal"/>
      <w:lvlText w:val="%7."/>
      <w:lvlJc w:val="left"/>
      <w:pPr>
        <w:ind w:left="5385" w:hanging="360"/>
      </w:pPr>
    </w:lvl>
    <w:lvl w:ilvl="7" w:tplc="240A0019" w:tentative="1">
      <w:start w:val="1"/>
      <w:numFmt w:val="lowerLetter"/>
      <w:lvlText w:val="%8."/>
      <w:lvlJc w:val="left"/>
      <w:pPr>
        <w:ind w:left="6105" w:hanging="360"/>
      </w:pPr>
    </w:lvl>
    <w:lvl w:ilvl="8" w:tplc="240A001B" w:tentative="1">
      <w:start w:val="1"/>
      <w:numFmt w:val="lowerRoman"/>
      <w:lvlText w:val="%9."/>
      <w:lvlJc w:val="right"/>
      <w:pPr>
        <w:ind w:left="6825" w:hanging="180"/>
      </w:pPr>
    </w:lvl>
  </w:abstractNum>
  <w:abstractNum w:abstractNumId="6" w15:restartNumberingAfterBreak="0">
    <w:nsid w:val="48290619"/>
    <w:multiLevelType w:val="hybridMultilevel"/>
    <w:tmpl w:val="41DCF464"/>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7" w15:restartNumberingAfterBreak="0">
    <w:nsid w:val="4DC543F0"/>
    <w:multiLevelType w:val="hybridMultilevel"/>
    <w:tmpl w:val="44D89A7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539E2972"/>
    <w:multiLevelType w:val="hybridMultilevel"/>
    <w:tmpl w:val="686C8598"/>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9" w15:restartNumberingAfterBreak="0">
    <w:nsid w:val="53CF762D"/>
    <w:multiLevelType w:val="hybridMultilevel"/>
    <w:tmpl w:val="52AC0ECA"/>
    <w:lvl w:ilvl="0" w:tplc="C958C022">
      <w:start w:val="2"/>
      <w:numFmt w:val="decimalZero"/>
      <w:lvlText w:val="%1."/>
      <w:lvlJc w:val="left"/>
      <w:pPr>
        <w:ind w:left="1065" w:hanging="360"/>
      </w:pPr>
      <w:rPr>
        <w:rFonts w:hint="default"/>
      </w:rPr>
    </w:lvl>
    <w:lvl w:ilvl="1" w:tplc="0C0A0019" w:tentative="1">
      <w:start w:val="1"/>
      <w:numFmt w:val="lowerLetter"/>
      <w:lvlText w:val="%2."/>
      <w:lvlJc w:val="left"/>
      <w:pPr>
        <w:ind w:left="1785" w:hanging="360"/>
      </w:pPr>
    </w:lvl>
    <w:lvl w:ilvl="2" w:tplc="0C0A001B" w:tentative="1">
      <w:start w:val="1"/>
      <w:numFmt w:val="lowerRoman"/>
      <w:lvlText w:val="%3."/>
      <w:lvlJc w:val="right"/>
      <w:pPr>
        <w:ind w:left="2505" w:hanging="180"/>
      </w:pPr>
    </w:lvl>
    <w:lvl w:ilvl="3" w:tplc="0C0A000F" w:tentative="1">
      <w:start w:val="1"/>
      <w:numFmt w:val="decimal"/>
      <w:lvlText w:val="%4."/>
      <w:lvlJc w:val="left"/>
      <w:pPr>
        <w:ind w:left="3225" w:hanging="360"/>
      </w:pPr>
    </w:lvl>
    <w:lvl w:ilvl="4" w:tplc="0C0A0019" w:tentative="1">
      <w:start w:val="1"/>
      <w:numFmt w:val="lowerLetter"/>
      <w:lvlText w:val="%5."/>
      <w:lvlJc w:val="left"/>
      <w:pPr>
        <w:ind w:left="3945" w:hanging="360"/>
      </w:pPr>
    </w:lvl>
    <w:lvl w:ilvl="5" w:tplc="0C0A001B" w:tentative="1">
      <w:start w:val="1"/>
      <w:numFmt w:val="lowerRoman"/>
      <w:lvlText w:val="%6."/>
      <w:lvlJc w:val="right"/>
      <w:pPr>
        <w:ind w:left="4665" w:hanging="180"/>
      </w:pPr>
    </w:lvl>
    <w:lvl w:ilvl="6" w:tplc="0C0A000F" w:tentative="1">
      <w:start w:val="1"/>
      <w:numFmt w:val="decimal"/>
      <w:lvlText w:val="%7."/>
      <w:lvlJc w:val="left"/>
      <w:pPr>
        <w:ind w:left="5385" w:hanging="360"/>
      </w:pPr>
    </w:lvl>
    <w:lvl w:ilvl="7" w:tplc="0C0A0019" w:tentative="1">
      <w:start w:val="1"/>
      <w:numFmt w:val="lowerLetter"/>
      <w:lvlText w:val="%8."/>
      <w:lvlJc w:val="left"/>
      <w:pPr>
        <w:ind w:left="6105" w:hanging="360"/>
      </w:pPr>
    </w:lvl>
    <w:lvl w:ilvl="8" w:tplc="0C0A001B" w:tentative="1">
      <w:start w:val="1"/>
      <w:numFmt w:val="lowerRoman"/>
      <w:lvlText w:val="%9."/>
      <w:lvlJc w:val="right"/>
      <w:pPr>
        <w:ind w:left="6825" w:hanging="180"/>
      </w:pPr>
    </w:lvl>
  </w:abstractNum>
  <w:abstractNum w:abstractNumId="10" w15:restartNumberingAfterBreak="0">
    <w:nsid w:val="672E1F6C"/>
    <w:multiLevelType w:val="hybridMultilevel"/>
    <w:tmpl w:val="839EB060"/>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1" w15:restartNumberingAfterBreak="0">
    <w:nsid w:val="75AD3FC5"/>
    <w:multiLevelType w:val="hybridMultilevel"/>
    <w:tmpl w:val="CE1454D2"/>
    <w:lvl w:ilvl="0" w:tplc="82E87D48">
      <w:start w:val="1"/>
      <w:numFmt w:val="decimalZero"/>
      <w:lvlText w:val="%1."/>
      <w:lvlJc w:val="left"/>
      <w:pPr>
        <w:ind w:left="1065" w:hanging="360"/>
      </w:pPr>
      <w:rPr>
        <w:rFonts w:hint="default"/>
      </w:rPr>
    </w:lvl>
    <w:lvl w:ilvl="1" w:tplc="0C0A0019" w:tentative="1">
      <w:start w:val="1"/>
      <w:numFmt w:val="lowerLetter"/>
      <w:lvlText w:val="%2."/>
      <w:lvlJc w:val="left"/>
      <w:pPr>
        <w:ind w:left="1785" w:hanging="360"/>
      </w:pPr>
    </w:lvl>
    <w:lvl w:ilvl="2" w:tplc="0C0A001B" w:tentative="1">
      <w:start w:val="1"/>
      <w:numFmt w:val="lowerRoman"/>
      <w:lvlText w:val="%3."/>
      <w:lvlJc w:val="right"/>
      <w:pPr>
        <w:ind w:left="2505" w:hanging="180"/>
      </w:pPr>
    </w:lvl>
    <w:lvl w:ilvl="3" w:tplc="0C0A000F" w:tentative="1">
      <w:start w:val="1"/>
      <w:numFmt w:val="decimal"/>
      <w:lvlText w:val="%4."/>
      <w:lvlJc w:val="left"/>
      <w:pPr>
        <w:ind w:left="3225" w:hanging="360"/>
      </w:pPr>
    </w:lvl>
    <w:lvl w:ilvl="4" w:tplc="0C0A0019" w:tentative="1">
      <w:start w:val="1"/>
      <w:numFmt w:val="lowerLetter"/>
      <w:lvlText w:val="%5."/>
      <w:lvlJc w:val="left"/>
      <w:pPr>
        <w:ind w:left="3945" w:hanging="360"/>
      </w:pPr>
    </w:lvl>
    <w:lvl w:ilvl="5" w:tplc="0C0A001B" w:tentative="1">
      <w:start w:val="1"/>
      <w:numFmt w:val="lowerRoman"/>
      <w:lvlText w:val="%6."/>
      <w:lvlJc w:val="right"/>
      <w:pPr>
        <w:ind w:left="4665" w:hanging="180"/>
      </w:pPr>
    </w:lvl>
    <w:lvl w:ilvl="6" w:tplc="0C0A000F" w:tentative="1">
      <w:start w:val="1"/>
      <w:numFmt w:val="decimal"/>
      <w:lvlText w:val="%7."/>
      <w:lvlJc w:val="left"/>
      <w:pPr>
        <w:ind w:left="5385" w:hanging="360"/>
      </w:pPr>
    </w:lvl>
    <w:lvl w:ilvl="7" w:tplc="0C0A0019" w:tentative="1">
      <w:start w:val="1"/>
      <w:numFmt w:val="lowerLetter"/>
      <w:lvlText w:val="%8."/>
      <w:lvlJc w:val="left"/>
      <w:pPr>
        <w:ind w:left="6105" w:hanging="360"/>
      </w:pPr>
    </w:lvl>
    <w:lvl w:ilvl="8" w:tplc="0C0A001B" w:tentative="1">
      <w:start w:val="1"/>
      <w:numFmt w:val="lowerRoman"/>
      <w:lvlText w:val="%9."/>
      <w:lvlJc w:val="right"/>
      <w:pPr>
        <w:ind w:left="6825" w:hanging="180"/>
      </w:pPr>
    </w:lvl>
  </w:abstractNum>
  <w:abstractNum w:abstractNumId="12" w15:restartNumberingAfterBreak="0">
    <w:nsid w:val="788A0D57"/>
    <w:multiLevelType w:val="hybridMultilevel"/>
    <w:tmpl w:val="60B43472"/>
    <w:lvl w:ilvl="0" w:tplc="040A0019">
      <w:start w:val="1"/>
      <w:numFmt w:val="lowerLetter"/>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3" w15:restartNumberingAfterBreak="0">
    <w:nsid w:val="7FD72959"/>
    <w:multiLevelType w:val="hybridMultilevel"/>
    <w:tmpl w:val="7E88AD86"/>
    <w:lvl w:ilvl="0" w:tplc="040A000F">
      <w:start w:val="2"/>
      <w:numFmt w:val="decimal"/>
      <w:lvlText w:val="%1."/>
      <w:lvlJc w:val="left"/>
      <w:pPr>
        <w:ind w:left="360" w:hanging="360"/>
      </w:pPr>
      <w:rPr>
        <w:rFonts w:hint="default"/>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num w:numId="1" w16cid:durableId="1522818172">
    <w:abstractNumId w:val="2"/>
  </w:num>
  <w:num w:numId="2" w16cid:durableId="250357699">
    <w:abstractNumId w:val="4"/>
  </w:num>
  <w:num w:numId="3" w16cid:durableId="1991865128">
    <w:abstractNumId w:val="13"/>
  </w:num>
  <w:num w:numId="4" w16cid:durableId="1007564630">
    <w:abstractNumId w:val="12"/>
  </w:num>
  <w:num w:numId="5" w16cid:durableId="1640065924">
    <w:abstractNumId w:val="10"/>
  </w:num>
  <w:num w:numId="6" w16cid:durableId="87511421">
    <w:abstractNumId w:val="5"/>
  </w:num>
  <w:num w:numId="7" w16cid:durableId="823200653">
    <w:abstractNumId w:val="11"/>
  </w:num>
  <w:num w:numId="8" w16cid:durableId="1244611575">
    <w:abstractNumId w:val="9"/>
  </w:num>
  <w:num w:numId="9" w16cid:durableId="959456764">
    <w:abstractNumId w:val="3"/>
  </w:num>
  <w:num w:numId="10" w16cid:durableId="1514877346">
    <w:abstractNumId w:val="8"/>
  </w:num>
  <w:num w:numId="11" w16cid:durableId="35085332">
    <w:abstractNumId w:val="7"/>
  </w:num>
  <w:num w:numId="12" w16cid:durableId="1555462018">
    <w:abstractNumId w:val="0"/>
  </w:num>
  <w:num w:numId="13" w16cid:durableId="907301052">
    <w:abstractNumId w:val="1"/>
  </w:num>
  <w:num w:numId="14" w16cid:durableId="176719011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defaultTabStop w:val="708"/>
  <w:hyphenationZone w:val="425"/>
  <w:drawingGridHorizontalSpacing w:val="181"/>
  <w:drawingGridVerticalSpacing w:val="181"/>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562B"/>
    <w:rsid w:val="0000014E"/>
    <w:rsid w:val="00003913"/>
    <w:rsid w:val="00011E83"/>
    <w:rsid w:val="00014ACF"/>
    <w:rsid w:val="00020BEF"/>
    <w:rsid w:val="000222E7"/>
    <w:rsid w:val="00025ABA"/>
    <w:rsid w:val="00030EF5"/>
    <w:rsid w:val="00040972"/>
    <w:rsid w:val="00041189"/>
    <w:rsid w:val="00043699"/>
    <w:rsid w:val="00050BA5"/>
    <w:rsid w:val="00051208"/>
    <w:rsid w:val="0005162A"/>
    <w:rsid w:val="00055736"/>
    <w:rsid w:val="00056756"/>
    <w:rsid w:val="00066B34"/>
    <w:rsid w:val="0006721A"/>
    <w:rsid w:val="000758D7"/>
    <w:rsid w:val="000839B3"/>
    <w:rsid w:val="0008790A"/>
    <w:rsid w:val="000975B5"/>
    <w:rsid w:val="000A1A2E"/>
    <w:rsid w:val="000A505D"/>
    <w:rsid w:val="000A6DF1"/>
    <w:rsid w:val="000A7150"/>
    <w:rsid w:val="000B02EC"/>
    <w:rsid w:val="000B0317"/>
    <w:rsid w:val="000B04D8"/>
    <w:rsid w:val="000B14B5"/>
    <w:rsid w:val="000B199D"/>
    <w:rsid w:val="000B2714"/>
    <w:rsid w:val="000B4E4B"/>
    <w:rsid w:val="000C3920"/>
    <w:rsid w:val="000C4BBB"/>
    <w:rsid w:val="000E1610"/>
    <w:rsid w:val="000E2F0E"/>
    <w:rsid w:val="000E4076"/>
    <w:rsid w:val="000E6F16"/>
    <w:rsid w:val="000F7626"/>
    <w:rsid w:val="001019E2"/>
    <w:rsid w:val="001109FB"/>
    <w:rsid w:val="00112310"/>
    <w:rsid w:val="00113B78"/>
    <w:rsid w:val="00115DB6"/>
    <w:rsid w:val="00121F64"/>
    <w:rsid w:val="00125B43"/>
    <w:rsid w:val="00130E53"/>
    <w:rsid w:val="001424F2"/>
    <w:rsid w:val="0014371E"/>
    <w:rsid w:val="001444A7"/>
    <w:rsid w:val="00146543"/>
    <w:rsid w:val="00152C4A"/>
    <w:rsid w:val="001541FD"/>
    <w:rsid w:val="001559F6"/>
    <w:rsid w:val="00157E10"/>
    <w:rsid w:val="001620EA"/>
    <w:rsid w:val="00165010"/>
    <w:rsid w:val="00167579"/>
    <w:rsid w:val="00173D04"/>
    <w:rsid w:val="00175583"/>
    <w:rsid w:val="001805B4"/>
    <w:rsid w:val="00182236"/>
    <w:rsid w:val="001853E4"/>
    <w:rsid w:val="0019294B"/>
    <w:rsid w:val="001955B8"/>
    <w:rsid w:val="00197439"/>
    <w:rsid w:val="001A1665"/>
    <w:rsid w:val="001A3318"/>
    <w:rsid w:val="001A3E0F"/>
    <w:rsid w:val="001B060A"/>
    <w:rsid w:val="001B3711"/>
    <w:rsid w:val="001B5994"/>
    <w:rsid w:val="001C189E"/>
    <w:rsid w:val="001C3A93"/>
    <w:rsid w:val="001C6FF1"/>
    <w:rsid w:val="001C7C69"/>
    <w:rsid w:val="001D0830"/>
    <w:rsid w:val="001D3915"/>
    <w:rsid w:val="001E4BF4"/>
    <w:rsid w:val="001F58EC"/>
    <w:rsid w:val="001F7390"/>
    <w:rsid w:val="001F7B43"/>
    <w:rsid w:val="0020545D"/>
    <w:rsid w:val="00205B9C"/>
    <w:rsid w:val="00206467"/>
    <w:rsid w:val="0021507D"/>
    <w:rsid w:val="00227EF3"/>
    <w:rsid w:val="0023194F"/>
    <w:rsid w:val="002331FA"/>
    <w:rsid w:val="00235B96"/>
    <w:rsid w:val="002412DF"/>
    <w:rsid w:val="0024562B"/>
    <w:rsid w:val="00245E35"/>
    <w:rsid w:val="0025426A"/>
    <w:rsid w:val="00254EC7"/>
    <w:rsid w:val="00276310"/>
    <w:rsid w:val="002771F7"/>
    <w:rsid w:val="002832E7"/>
    <w:rsid w:val="00284218"/>
    <w:rsid w:val="00290C14"/>
    <w:rsid w:val="002965E8"/>
    <w:rsid w:val="002A003F"/>
    <w:rsid w:val="002A0B78"/>
    <w:rsid w:val="002A1DCA"/>
    <w:rsid w:val="002A6CDC"/>
    <w:rsid w:val="002B17DF"/>
    <w:rsid w:val="002B2638"/>
    <w:rsid w:val="002B5F0D"/>
    <w:rsid w:val="002B6428"/>
    <w:rsid w:val="002C0D35"/>
    <w:rsid w:val="002C4390"/>
    <w:rsid w:val="002C4876"/>
    <w:rsid w:val="002D73D7"/>
    <w:rsid w:val="002E316A"/>
    <w:rsid w:val="002E36BD"/>
    <w:rsid w:val="002E5321"/>
    <w:rsid w:val="002F0284"/>
    <w:rsid w:val="002F2B91"/>
    <w:rsid w:val="002F32DA"/>
    <w:rsid w:val="002F3417"/>
    <w:rsid w:val="002F4B1E"/>
    <w:rsid w:val="002F5F11"/>
    <w:rsid w:val="00303AC8"/>
    <w:rsid w:val="00303F89"/>
    <w:rsid w:val="00306711"/>
    <w:rsid w:val="00307E04"/>
    <w:rsid w:val="00307F9F"/>
    <w:rsid w:val="00314E93"/>
    <w:rsid w:val="003157FC"/>
    <w:rsid w:val="00321042"/>
    <w:rsid w:val="00321650"/>
    <w:rsid w:val="003222C4"/>
    <w:rsid w:val="0032313A"/>
    <w:rsid w:val="00324049"/>
    <w:rsid w:val="00324720"/>
    <w:rsid w:val="00333003"/>
    <w:rsid w:val="0033418B"/>
    <w:rsid w:val="003341DC"/>
    <w:rsid w:val="00335112"/>
    <w:rsid w:val="00340ABC"/>
    <w:rsid w:val="003421DC"/>
    <w:rsid w:val="00343DAF"/>
    <w:rsid w:val="00347C89"/>
    <w:rsid w:val="00351BDB"/>
    <w:rsid w:val="00355605"/>
    <w:rsid w:val="00361202"/>
    <w:rsid w:val="0036367A"/>
    <w:rsid w:val="00381564"/>
    <w:rsid w:val="0038156F"/>
    <w:rsid w:val="0038704E"/>
    <w:rsid w:val="00392BE2"/>
    <w:rsid w:val="00393B03"/>
    <w:rsid w:val="00394122"/>
    <w:rsid w:val="0039421A"/>
    <w:rsid w:val="003970F3"/>
    <w:rsid w:val="003978FE"/>
    <w:rsid w:val="00397A93"/>
    <w:rsid w:val="00397B6B"/>
    <w:rsid w:val="003A073B"/>
    <w:rsid w:val="003A657A"/>
    <w:rsid w:val="003C3203"/>
    <w:rsid w:val="003C4F82"/>
    <w:rsid w:val="003C50ED"/>
    <w:rsid w:val="003F2F70"/>
    <w:rsid w:val="003F5244"/>
    <w:rsid w:val="00400F36"/>
    <w:rsid w:val="00400FD9"/>
    <w:rsid w:val="00403A4D"/>
    <w:rsid w:val="004069EF"/>
    <w:rsid w:val="00406A88"/>
    <w:rsid w:val="0041027C"/>
    <w:rsid w:val="00411AF8"/>
    <w:rsid w:val="004151A9"/>
    <w:rsid w:val="0041602E"/>
    <w:rsid w:val="00421B14"/>
    <w:rsid w:val="0043091D"/>
    <w:rsid w:val="00434714"/>
    <w:rsid w:val="00437403"/>
    <w:rsid w:val="00441D21"/>
    <w:rsid w:val="00447FD5"/>
    <w:rsid w:val="00451AF4"/>
    <w:rsid w:val="00452729"/>
    <w:rsid w:val="00453043"/>
    <w:rsid w:val="00462E31"/>
    <w:rsid w:val="004732CF"/>
    <w:rsid w:val="00475E6A"/>
    <w:rsid w:val="00477065"/>
    <w:rsid w:val="00477CD2"/>
    <w:rsid w:val="00477FB0"/>
    <w:rsid w:val="00482503"/>
    <w:rsid w:val="00484789"/>
    <w:rsid w:val="00494C41"/>
    <w:rsid w:val="00496877"/>
    <w:rsid w:val="00497459"/>
    <w:rsid w:val="004A4754"/>
    <w:rsid w:val="004A74D3"/>
    <w:rsid w:val="004A7641"/>
    <w:rsid w:val="004B2992"/>
    <w:rsid w:val="004B29B9"/>
    <w:rsid w:val="004B3804"/>
    <w:rsid w:val="004C0D1A"/>
    <w:rsid w:val="004C2DC7"/>
    <w:rsid w:val="004C7ADE"/>
    <w:rsid w:val="004C7E48"/>
    <w:rsid w:val="004D3706"/>
    <w:rsid w:val="004E13D0"/>
    <w:rsid w:val="004E5253"/>
    <w:rsid w:val="004F20FB"/>
    <w:rsid w:val="004F5DF3"/>
    <w:rsid w:val="0050108E"/>
    <w:rsid w:val="00501D6B"/>
    <w:rsid w:val="00503381"/>
    <w:rsid w:val="0051477E"/>
    <w:rsid w:val="00517815"/>
    <w:rsid w:val="0052030D"/>
    <w:rsid w:val="00522DFA"/>
    <w:rsid w:val="00524C3E"/>
    <w:rsid w:val="00525C33"/>
    <w:rsid w:val="00535B9C"/>
    <w:rsid w:val="00536E72"/>
    <w:rsid w:val="005379D4"/>
    <w:rsid w:val="00547582"/>
    <w:rsid w:val="00552BE4"/>
    <w:rsid w:val="00553214"/>
    <w:rsid w:val="00556530"/>
    <w:rsid w:val="005579F6"/>
    <w:rsid w:val="00565BC3"/>
    <w:rsid w:val="00567179"/>
    <w:rsid w:val="00570198"/>
    <w:rsid w:val="00574BD4"/>
    <w:rsid w:val="005779C5"/>
    <w:rsid w:val="005818B3"/>
    <w:rsid w:val="0058462A"/>
    <w:rsid w:val="005865C4"/>
    <w:rsid w:val="0058743B"/>
    <w:rsid w:val="005900D9"/>
    <w:rsid w:val="00594D81"/>
    <w:rsid w:val="00594E07"/>
    <w:rsid w:val="00597D49"/>
    <w:rsid w:val="005A07EA"/>
    <w:rsid w:val="005A62C3"/>
    <w:rsid w:val="005B2874"/>
    <w:rsid w:val="005B3021"/>
    <w:rsid w:val="005B4BA0"/>
    <w:rsid w:val="005B6E7D"/>
    <w:rsid w:val="005C516E"/>
    <w:rsid w:val="005C5DC4"/>
    <w:rsid w:val="005D06E1"/>
    <w:rsid w:val="005D0FA2"/>
    <w:rsid w:val="005D6BA3"/>
    <w:rsid w:val="005D7D9F"/>
    <w:rsid w:val="005E4184"/>
    <w:rsid w:val="005E746D"/>
    <w:rsid w:val="005F186C"/>
    <w:rsid w:val="005F43B2"/>
    <w:rsid w:val="005F56A0"/>
    <w:rsid w:val="00601FA8"/>
    <w:rsid w:val="006032A7"/>
    <w:rsid w:val="006102A6"/>
    <w:rsid w:val="0061493E"/>
    <w:rsid w:val="00615C75"/>
    <w:rsid w:val="006222F9"/>
    <w:rsid w:val="00623932"/>
    <w:rsid w:val="0062466C"/>
    <w:rsid w:val="00626AD4"/>
    <w:rsid w:val="00626D01"/>
    <w:rsid w:val="0063295F"/>
    <w:rsid w:val="00635048"/>
    <w:rsid w:val="00635443"/>
    <w:rsid w:val="00643548"/>
    <w:rsid w:val="00647960"/>
    <w:rsid w:val="00650840"/>
    <w:rsid w:val="00654F1B"/>
    <w:rsid w:val="00660FD4"/>
    <w:rsid w:val="00663F22"/>
    <w:rsid w:val="006640C9"/>
    <w:rsid w:val="00664A5B"/>
    <w:rsid w:val="00664A61"/>
    <w:rsid w:val="0068485B"/>
    <w:rsid w:val="00691ABA"/>
    <w:rsid w:val="0069711F"/>
    <w:rsid w:val="00697C7F"/>
    <w:rsid w:val="006A07A9"/>
    <w:rsid w:val="006A1C61"/>
    <w:rsid w:val="006B33D0"/>
    <w:rsid w:val="006B5214"/>
    <w:rsid w:val="006B614C"/>
    <w:rsid w:val="006B6F50"/>
    <w:rsid w:val="006B7723"/>
    <w:rsid w:val="006C0FEA"/>
    <w:rsid w:val="006C27B7"/>
    <w:rsid w:val="006D328F"/>
    <w:rsid w:val="006D3C36"/>
    <w:rsid w:val="006D546C"/>
    <w:rsid w:val="006F3837"/>
    <w:rsid w:val="006F7E56"/>
    <w:rsid w:val="00701753"/>
    <w:rsid w:val="00702BA9"/>
    <w:rsid w:val="00703B8D"/>
    <w:rsid w:val="00705DD2"/>
    <w:rsid w:val="00710B80"/>
    <w:rsid w:val="00711ED2"/>
    <w:rsid w:val="00721CC3"/>
    <w:rsid w:val="00723108"/>
    <w:rsid w:val="00725204"/>
    <w:rsid w:val="00733115"/>
    <w:rsid w:val="007337BD"/>
    <w:rsid w:val="00742722"/>
    <w:rsid w:val="007503F4"/>
    <w:rsid w:val="007526B1"/>
    <w:rsid w:val="00754911"/>
    <w:rsid w:val="00757033"/>
    <w:rsid w:val="007654AD"/>
    <w:rsid w:val="00765AC3"/>
    <w:rsid w:val="00772EA2"/>
    <w:rsid w:val="00782B97"/>
    <w:rsid w:val="0078332E"/>
    <w:rsid w:val="00787B9C"/>
    <w:rsid w:val="0079708B"/>
    <w:rsid w:val="007A20B1"/>
    <w:rsid w:val="007A3E33"/>
    <w:rsid w:val="007A3FDC"/>
    <w:rsid w:val="007B113C"/>
    <w:rsid w:val="007B173D"/>
    <w:rsid w:val="007B2296"/>
    <w:rsid w:val="007B4942"/>
    <w:rsid w:val="007B6493"/>
    <w:rsid w:val="007B6A86"/>
    <w:rsid w:val="007C2CF1"/>
    <w:rsid w:val="007C508E"/>
    <w:rsid w:val="007D39AD"/>
    <w:rsid w:val="007D5D9E"/>
    <w:rsid w:val="007D6025"/>
    <w:rsid w:val="007D6736"/>
    <w:rsid w:val="007D6875"/>
    <w:rsid w:val="007E21D5"/>
    <w:rsid w:val="007E4F0D"/>
    <w:rsid w:val="007F2AA2"/>
    <w:rsid w:val="007F3BA7"/>
    <w:rsid w:val="0080296D"/>
    <w:rsid w:val="00816B3A"/>
    <w:rsid w:val="00820FF2"/>
    <w:rsid w:val="008239DD"/>
    <w:rsid w:val="00827BC6"/>
    <w:rsid w:val="00836A37"/>
    <w:rsid w:val="00837E58"/>
    <w:rsid w:val="00840162"/>
    <w:rsid w:val="00844826"/>
    <w:rsid w:val="00856444"/>
    <w:rsid w:val="00860382"/>
    <w:rsid w:val="008651B7"/>
    <w:rsid w:val="00865F81"/>
    <w:rsid w:val="00867C6A"/>
    <w:rsid w:val="00870C9C"/>
    <w:rsid w:val="00880A1A"/>
    <w:rsid w:val="008810D5"/>
    <w:rsid w:val="008811E8"/>
    <w:rsid w:val="00884D5D"/>
    <w:rsid w:val="00887DCC"/>
    <w:rsid w:val="00895558"/>
    <w:rsid w:val="008A3B4C"/>
    <w:rsid w:val="008A6863"/>
    <w:rsid w:val="008A696A"/>
    <w:rsid w:val="008D62ED"/>
    <w:rsid w:val="008E0B6D"/>
    <w:rsid w:val="008E2126"/>
    <w:rsid w:val="008F08C1"/>
    <w:rsid w:val="008F5DA6"/>
    <w:rsid w:val="008F619F"/>
    <w:rsid w:val="0090134B"/>
    <w:rsid w:val="00903287"/>
    <w:rsid w:val="00903BDB"/>
    <w:rsid w:val="00910881"/>
    <w:rsid w:val="00930C06"/>
    <w:rsid w:val="009405C3"/>
    <w:rsid w:val="00944988"/>
    <w:rsid w:val="00951019"/>
    <w:rsid w:val="00952043"/>
    <w:rsid w:val="00956AE8"/>
    <w:rsid w:val="00957C78"/>
    <w:rsid w:val="00970793"/>
    <w:rsid w:val="00972FD3"/>
    <w:rsid w:val="00977274"/>
    <w:rsid w:val="00983F40"/>
    <w:rsid w:val="0098548D"/>
    <w:rsid w:val="0098553D"/>
    <w:rsid w:val="00994481"/>
    <w:rsid w:val="009A0F7D"/>
    <w:rsid w:val="009B05FF"/>
    <w:rsid w:val="009B3104"/>
    <w:rsid w:val="009B43AC"/>
    <w:rsid w:val="009B54A6"/>
    <w:rsid w:val="009C2488"/>
    <w:rsid w:val="009C4701"/>
    <w:rsid w:val="009C4814"/>
    <w:rsid w:val="009C6341"/>
    <w:rsid w:val="009C6903"/>
    <w:rsid w:val="009E50B7"/>
    <w:rsid w:val="009E66E3"/>
    <w:rsid w:val="009F1F50"/>
    <w:rsid w:val="009F2743"/>
    <w:rsid w:val="009F3167"/>
    <w:rsid w:val="009F4FCB"/>
    <w:rsid w:val="009F6E66"/>
    <w:rsid w:val="009F7EA4"/>
    <w:rsid w:val="00A00A4E"/>
    <w:rsid w:val="00A12E7E"/>
    <w:rsid w:val="00A25A68"/>
    <w:rsid w:val="00A25EBB"/>
    <w:rsid w:val="00A26B52"/>
    <w:rsid w:val="00A31404"/>
    <w:rsid w:val="00A41758"/>
    <w:rsid w:val="00A41F66"/>
    <w:rsid w:val="00A476EA"/>
    <w:rsid w:val="00A50F55"/>
    <w:rsid w:val="00A54E1A"/>
    <w:rsid w:val="00A55035"/>
    <w:rsid w:val="00A55C92"/>
    <w:rsid w:val="00A562C2"/>
    <w:rsid w:val="00A56DEC"/>
    <w:rsid w:val="00A57B42"/>
    <w:rsid w:val="00A62E42"/>
    <w:rsid w:val="00A73C0B"/>
    <w:rsid w:val="00A742BF"/>
    <w:rsid w:val="00A94547"/>
    <w:rsid w:val="00A96CE6"/>
    <w:rsid w:val="00AA4DD9"/>
    <w:rsid w:val="00AB1CF9"/>
    <w:rsid w:val="00AC0444"/>
    <w:rsid w:val="00AC3974"/>
    <w:rsid w:val="00AC6922"/>
    <w:rsid w:val="00AC6E00"/>
    <w:rsid w:val="00AC7BEF"/>
    <w:rsid w:val="00AD2954"/>
    <w:rsid w:val="00AD2A59"/>
    <w:rsid w:val="00AD38A3"/>
    <w:rsid w:val="00AD50FA"/>
    <w:rsid w:val="00AE11BC"/>
    <w:rsid w:val="00AE13DA"/>
    <w:rsid w:val="00AE253B"/>
    <w:rsid w:val="00AE4FDB"/>
    <w:rsid w:val="00AE548F"/>
    <w:rsid w:val="00AE588B"/>
    <w:rsid w:val="00AF109D"/>
    <w:rsid w:val="00AF2705"/>
    <w:rsid w:val="00AF5E65"/>
    <w:rsid w:val="00AF79CE"/>
    <w:rsid w:val="00B031C0"/>
    <w:rsid w:val="00B11FC1"/>
    <w:rsid w:val="00B20B87"/>
    <w:rsid w:val="00B21125"/>
    <w:rsid w:val="00B22688"/>
    <w:rsid w:val="00B22BE7"/>
    <w:rsid w:val="00B33BE5"/>
    <w:rsid w:val="00B43788"/>
    <w:rsid w:val="00B4596E"/>
    <w:rsid w:val="00B45C2C"/>
    <w:rsid w:val="00B46188"/>
    <w:rsid w:val="00B50C5D"/>
    <w:rsid w:val="00B603F8"/>
    <w:rsid w:val="00B63C02"/>
    <w:rsid w:val="00B64877"/>
    <w:rsid w:val="00B671BB"/>
    <w:rsid w:val="00B671DB"/>
    <w:rsid w:val="00B6780B"/>
    <w:rsid w:val="00B77DE3"/>
    <w:rsid w:val="00B80B4E"/>
    <w:rsid w:val="00B817F0"/>
    <w:rsid w:val="00B84850"/>
    <w:rsid w:val="00B93E45"/>
    <w:rsid w:val="00B96A72"/>
    <w:rsid w:val="00BA5FC8"/>
    <w:rsid w:val="00BB021E"/>
    <w:rsid w:val="00BB3346"/>
    <w:rsid w:val="00BB465D"/>
    <w:rsid w:val="00BC071E"/>
    <w:rsid w:val="00BC7199"/>
    <w:rsid w:val="00BC7DB3"/>
    <w:rsid w:val="00BD0C97"/>
    <w:rsid w:val="00BE2CE1"/>
    <w:rsid w:val="00BE3FB2"/>
    <w:rsid w:val="00BF15E5"/>
    <w:rsid w:val="00BF24AE"/>
    <w:rsid w:val="00BF46B8"/>
    <w:rsid w:val="00BF4F3D"/>
    <w:rsid w:val="00BF6B47"/>
    <w:rsid w:val="00C03E0F"/>
    <w:rsid w:val="00C06132"/>
    <w:rsid w:val="00C07B40"/>
    <w:rsid w:val="00C1087F"/>
    <w:rsid w:val="00C10E6C"/>
    <w:rsid w:val="00C12944"/>
    <w:rsid w:val="00C129C7"/>
    <w:rsid w:val="00C133AC"/>
    <w:rsid w:val="00C136A0"/>
    <w:rsid w:val="00C17634"/>
    <w:rsid w:val="00C20ED8"/>
    <w:rsid w:val="00C24EA5"/>
    <w:rsid w:val="00C256BC"/>
    <w:rsid w:val="00C26F76"/>
    <w:rsid w:val="00C27736"/>
    <w:rsid w:val="00C3391B"/>
    <w:rsid w:val="00C35869"/>
    <w:rsid w:val="00C35A8C"/>
    <w:rsid w:val="00C40EB6"/>
    <w:rsid w:val="00C41BD2"/>
    <w:rsid w:val="00C510D4"/>
    <w:rsid w:val="00C541ED"/>
    <w:rsid w:val="00C54D2D"/>
    <w:rsid w:val="00C56937"/>
    <w:rsid w:val="00C577ED"/>
    <w:rsid w:val="00C618B6"/>
    <w:rsid w:val="00C658BB"/>
    <w:rsid w:val="00C65DEF"/>
    <w:rsid w:val="00C7458C"/>
    <w:rsid w:val="00C768E5"/>
    <w:rsid w:val="00C868C3"/>
    <w:rsid w:val="00C86E57"/>
    <w:rsid w:val="00C9017B"/>
    <w:rsid w:val="00C96279"/>
    <w:rsid w:val="00C9666A"/>
    <w:rsid w:val="00CA58C2"/>
    <w:rsid w:val="00CB2131"/>
    <w:rsid w:val="00CB6F39"/>
    <w:rsid w:val="00CC7068"/>
    <w:rsid w:val="00CD0603"/>
    <w:rsid w:val="00CD35C4"/>
    <w:rsid w:val="00CD4A0E"/>
    <w:rsid w:val="00CE0023"/>
    <w:rsid w:val="00CE5273"/>
    <w:rsid w:val="00CE52AB"/>
    <w:rsid w:val="00CE716A"/>
    <w:rsid w:val="00CE7778"/>
    <w:rsid w:val="00CF23E2"/>
    <w:rsid w:val="00CF2BD0"/>
    <w:rsid w:val="00CF4D89"/>
    <w:rsid w:val="00D00E47"/>
    <w:rsid w:val="00D029A1"/>
    <w:rsid w:val="00D0362E"/>
    <w:rsid w:val="00D03743"/>
    <w:rsid w:val="00D049AB"/>
    <w:rsid w:val="00D063FF"/>
    <w:rsid w:val="00D124A1"/>
    <w:rsid w:val="00D1454B"/>
    <w:rsid w:val="00D1575D"/>
    <w:rsid w:val="00D21B75"/>
    <w:rsid w:val="00D2201E"/>
    <w:rsid w:val="00D233E1"/>
    <w:rsid w:val="00D26A93"/>
    <w:rsid w:val="00D401FD"/>
    <w:rsid w:val="00D43D43"/>
    <w:rsid w:val="00D47987"/>
    <w:rsid w:val="00D50C90"/>
    <w:rsid w:val="00D53D88"/>
    <w:rsid w:val="00D56065"/>
    <w:rsid w:val="00D60137"/>
    <w:rsid w:val="00D60970"/>
    <w:rsid w:val="00D62A4C"/>
    <w:rsid w:val="00D7469E"/>
    <w:rsid w:val="00D813FF"/>
    <w:rsid w:val="00D8196C"/>
    <w:rsid w:val="00D836A3"/>
    <w:rsid w:val="00D85705"/>
    <w:rsid w:val="00D85843"/>
    <w:rsid w:val="00D87B89"/>
    <w:rsid w:val="00D90043"/>
    <w:rsid w:val="00D91312"/>
    <w:rsid w:val="00D9187C"/>
    <w:rsid w:val="00D97E49"/>
    <w:rsid w:val="00DA0BA6"/>
    <w:rsid w:val="00DA1C73"/>
    <w:rsid w:val="00DA3F61"/>
    <w:rsid w:val="00DB1E02"/>
    <w:rsid w:val="00DB60AB"/>
    <w:rsid w:val="00DC0B6F"/>
    <w:rsid w:val="00DC78C3"/>
    <w:rsid w:val="00E033B4"/>
    <w:rsid w:val="00E206D9"/>
    <w:rsid w:val="00E22AB1"/>
    <w:rsid w:val="00E22E8E"/>
    <w:rsid w:val="00E25A35"/>
    <w:rsid w:val="00E274BF"/>
    <w:rsid w:val="00E27D2D"/>
    <w:rsid w:val="00E32CDE"/>
    <w:rsid w:val="00E34DAD"/>
    <w:rsid w:val="00E40482"/>
    <w:rsid w:val="00E451D4"/>
    <w:rsid w:val="00E46091"/>
    <w:rsid w:val="00E513F6"/>
    <w:rsid w:val="00E62198"/>
    <w:rsid w:val="00E62B21"/>
    <w:rsid w:val="00E63A1C"/>
    <w:rsid w:val="00E66B87"/>
    <w:rsid w:val="00E7039F"/>
    <w:rsid w:val="00E707ED"/>
    <w:rsid w:val="00E7163E"/>
    <w:rsid w:val="00E813E3"/>
    <w:rsid w:val="00E82B63"/>
    <w:rsid w:val="00E83D81"/>
    <w:rsid w:val="00E91C90"/>
    <w:rsid w:val="00E96C8C"/>
    <w:rsid w:val="00EA2FEE"/>
    <w:rsid w:val="00EB0B77"/>
    <w:rsid w:val="00EB50D2"/>
    <w:rsid w:val="00ED3460"/>
    <w:rsid w:val="00ED461E"/>
    <w:rsid w:val="00ED5D4A"/>
    <w:rsid w:val="00EE14EE"/>
    <w:rsid w:val="00EE67A2"/>
    <w:rsid w:val="00EF21D0"/>
    <w:rsid w:val="00EF247D"/>
    <w:rsid w:val="00EF5E10"/>
    <w:rsid w:val="00F033DA"/>
    <w:rsid w:val="00F04B02"/>
    <w:rsid w:val="00F06982"/>
    <w:rsid w:val="00F073B7"/>
    <w:rsid w:val="00F1104C"/>
    <w:rsid w:val="00F13159"/>
    <w:rsid w:val="00F17B33"/>
    <w:rsid w:val="00F226D4"/>
    <w:rsid w:val="00F27E33"/>
    <w:rsid w:val="00F3246B"/>
    <w:rsid w:val="00F42697"/>
    <w:rsid w:val="00F434D1"/>
    <w:rsid w:val="00F438AF"/>
    <w:rsid w:val="00F54454"/>
    <w:rsid w:val="00F55526"/>
    <w:rsid w:val="00F7318D"/>
    <w:rsid w:val="00F75401"/>
    <w:rsid w:val="00F75BB1"/>
    <w:rsid w:val="00F823DD"/>
    <w:rsid w:val="00F85652"/>
    <w:rsid w:val="00F85DEE"/>
    <w:rsid w:val="00F91027"/>
    <w:rsid w:val="00F91F95"/>
    <w:rsid w:val="00F96064"/>
    <w:rsid w:val="00FA02CD"/>
    <w:rsid w:val="00FA0DE8"/>
    <w:rsid w:val="00FA3450"/>
    <w:rsid w:val="00FA48FA"/>
    <w:rsid w:val="00FA6FF4"/>
    <w:rsid w:val="00FB15FF"/>
    <w:rsid w:val="00FB217C"/>
    <w:rsid w:val="00FB4591"/>
    <w:rsid w:val="00FB4D0D"/>
    <w:rsid w:val="00FB5063"/>
    <w:rsid w:val="00FC275A"/>
    <w:rsid w:val="00FC5A8F"/>
    <w:rsid w:val="00FC6042"/>
    <w:rsid w:val="00FD1792"/>
    <w:rsid w:val="00FD2F73"/>
    <w:rsid w:val="00FD6FA9"/>
    <w:rsid w:val="00FE0344"/>
    <w:rsid w:val="00FE1D02"/>
    <w:rsid w:val="00FE1D5B"/>
    <w:rsid w:val="00FE4511"/>
    <w:rsid w:val="00FE7D3A"/>
    <w:rsid w:val="00FF0856"/>
    <w:rsid w:val="00FF1BCF"/>
    <w:rsid w:val="00FF25F6"/>
    <w:rsid w:val="00FF4E06"/>
    <w:rsid w:val="00FF7E8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29462B"/>
  <w15:chartTrackingRefBased/>
  <w15:docId w15:val="{F1A08A6B-4065-47CA-94CE-F2E192D7BD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E2F0E"/>
    <w:pPr>
      <w:spacing w:after="0" w:line="240" w:lineRule="auto"/>
    </w:pPr>
    <w:rPr>
      <w:rFonts w:ascii="Arial" w:eastAsia="Calibri" w:hAnsi="Arial" w:cs="Times New Roman"/>
      <w:b/>
    </w:rPr>
  </w:style>
  <w:style w:type="paragraph" w:styleId="Ttulo1">
    <w:name w:val="heading 1"/>
    <w:basedOn w:val="Normal"/>
    <w:next w:val="Normal"/>
    <w:link w:val="Ttulo1Car"/>
    <w:uiPriority w:val="9"/>
    <w:qFormat/>
    <w:rsid w:val="005579F6"/>
    <w:pPr>
      <w:keepNext/>
      <w:jc w:val="both"/>
      <w:outlineLvl w:val="0"/>
    </w:pPr>
    <w:rPr>
      <w:rFonts w:cs="Arial"/>
      <w:bCs/>
      <w:sz w:val="20"/>
      <w:szCs w:val="20"/>
    </w:rPr>
  </w:style>
  <w:style w:type="paragraph" w:styleId="Ttulo2">
    <w:name w:val="heading 2"/>
    <w:basedOn w:val="Normal"/>
    <w:next w:val="Normal"/>
    <w:link w:val="Ttulo2Car"/>
    <w:uiPriority w:val="9"/>
    <w:unhideWhenUsed/>
    <w:qFormat/>
    <w:rsid w:val="005579F6"/>
    <w:pPr>
      <w:keepNext/>
      <w:jc w:val="both"/>
      <w:outlineLvl w:val="1"/>
    </w:pPr>
    <w:rPr>
      <w:rFonts w:cs="Arial"/>
      <w:b w:val="0"/>
      <w:bCs/>
      <w:sz w:val="20"/>
      <w:szCs w:val="20"/>
      <w:u w:val="single"/>
    </w:rPr>
  </w:style>
  <w:style w:type="paragraph" w:styleId="Ttulo3">
    <w:name w:val="heading 3"/>
    <w:basedOn w:val="Normal"/>
    <w:next w:val="Normal"/>
    <w:link w:val="Ttulo3Car"/>
    <w:uiPriority w:val="9"/>
    <w:unhideWhenUsed/>
    <w:qFormat/>
    <w:rsid w:val="004069EF"/>
    <w:pPr>
      <w:keepNext/>
      <w:jc w:val="both"/>
      <w:outlineLvl w:val="2"/>
    </w:pPr>
    <w:rPr>
      <w:rFonts w:eastAsiaTheme="minorHAnsi" w:cs="Arial"/>
      <w:bCs/>
      <w:sz w:val="16"/>
      <w:szCs w:val="16"/>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24562B"/>
    <w:pPr>
      <w:tabs>
        <w:tab w:val="center" w:pos="4419"/>
        <w:tab w:val="right" w:pos="8838"/>
      </w:tabs>
    </w:pPr>
  </w:style>
  <w:style w:type="character" w:customStyle="1" w:styleId="EncabezadoCar">
    <w:name w:val="Encabezado Car"/>
    <w:basedOn w:val="Fuentedeprrafopredeter"/>
    <w:link w:val="Encabezado"/>
    <w:uiPriority w:val="99"/>
    <w:rsid w:val="0024562B"/>
  </w:style>
  <w:style w:type="paragraph" w:styleId="Piedepgina">
    <w:name w:val="footer"/>
    <w:basedOn w:val="Normal"/>
    <w:link w:val="PiedepginaCar"/>
    <w:uiPriority w:val="99"/>
    <w:unhideWhenUsed/>
    <w:rsid w:val="0024562B"/>
    <w:pPr>
      <w:tabs>
        <w:tab w:val="center" w:pos="4419"/>
        <w:tab w:val="right" w:pos="8838"/>
      </w:tabs>
    </w:pPr>
  </w:style>
  <w:style w:type="character" w:customStyle="1" w:styleId="PiedepginaCar">
    <w:name w:val="Pie de página Car"/>
    <w:basedOn w:val="Fuentedeprrafopredeter"/>
    <w:link w:val="Piedepgina"/>
    <w:uiPriority w:val="99"/>
    <w:rsid w:val="0024562B"/>
  </w:style>
  <w:style w:type="character" w:styleId="Fuerte">
    <w:name w:val="Strong"/>
    <w:basedOn w:val="Fuentedeprrafopredeter"/>
    <w:uiPriority w:val="22"/>
    <w:qFormat/>
    <w:rsid w:val="00FA02CD"/>
    <w:rPr>
      <w:b/>
      <w:bCs/>
    </w:rPr>
  </w:style>
  <w:style w:type="table" w:styleId="Tablaconcuadrcula">
    <w:name w:val="Table Grid"/>
    <w:basedOn w:val="Tablanormal"/>
    <w:uiPriority w:val="39"/>
    <w:rsid w:val="00FA02C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FA02CD"/>
    <w:rPr>
      <w:color w:val="0563C1" w:themeColor="hyperlink"/>
      <w:u w:val="single"/>
    </w:rPr>
  </w:style>
  <w:style w:type="paragraph" w:styleId="Prrafodelista">
    <w:name w:val="List Paragraph"/>
    <w:aliases w:val="Bolita,Guión,Viñeta 2,Párrafo de lista3,BOLA,Párrafo de lista21,Titulo 8,Párrafo de lista2,Correción viñeta del guión,BOLADEF,HOJA,Párrafo de lista31,Párrafo de lista5,Colorful List - Accent 11,Colorful List Accent 1,Bola,List Paragraph"/>
    <w:basedOn w:val="Normal"/>
    <w:link w:val="PrrafodelistaCar"/>
    <w:uiPriority w:val="34"/>
    <w:qFormat/>
    <w:rsid w:val="004A74D3"/>
    <w:pPr>
      <w:ind w:left="720"/>
      <w:contextualSpacing/>
    </w:pPr>
  </w:style>
  <w:style w:type="table" w:customStyle="1" w:styleId="TableGrid">
    <w:name w:val="TableGrid"/>
    <w:rsid w:val="004A74D3"/>
    <w:pPr>
      <w:spacing w:after="0" w:line="240" w:lineRule="auto"/>
    </w:pPr>
    <w:rPr>
      <w:rFonts w:eastAsiaTheme="minorEastAsia"/>
      <w:lang w:val="en-US"/>
    </w:rPr>
    <w:tblPr>
      <w:tblCellMar>
        <w:top w:w="0" w:type="dxa"/>
        <w:left w:w="0" w:type="dxa"/>
        <w:bottom w:w="0" w:type="dxa"/>
        <w:right w:w="0" w:type="dxa"/>
      </w:tblCellMar>
    </w:tblPr>
  </w:style>
  <w:style w:type="character" w:customStyle="1" w:styleId="PrrafodelistaCar">
    <w:name w:val="Párrafo de lista Car"/>
    <w:aliases w:val="Bolita Car,Guión Car,Viñeta 2 Car,Párrafo de lista3 Car,BOLA Car,Párrafo de lista21 Car,Titulo 8 Car,Párrafo de lista2 Car,Correción viñeta del guión Car,BOLADEF Car,HOJA Car,Párrafo de lista31 Car,Párrafo de lista5 Car,Bola Car"/>
    <w:link w:val="Prrafodelista"/>
    <w:uiPriority w:val="34"/>
    <w:qFormat/>
    <w:rsid w:val="00340ABC"/>
    <w:rPr>
      <w:rFonts w:ascii="Lucida Calligraphy" w:eastAsia="Calibri" w:hAnsi="Lucida Calligraphy" w:cs="Times New Roman"/>
      <w:b/>
    </w:rPr>
  </w:style>
  <w:style w:type="character" w:customStyle="1" w:styleId="Mencinsinresolver1">
    <w:name w:val="Mención sin resolver1"/>
    <w:basedOn w:val="Fuentedeprrafopredeter"/>
    <w:uiPriority w:val="99"/>
    <w:semiHidden/>
    <w:unhideWhenUsed/>
    <w:rsid w:val="00381564"/>
    <w:rPr>
      <w:color w:val="605E5C"/>
      <w:shd w:val="clear" w:color="auto" w:fill="E1DFDD"/>
    </w:rPr>
  </w:style>
  <w:style w:type="character" w:customStyle="1" w:styleId="Mencinsinresolver2">
    <w:name w:val="Mención sin resolver2"/>
    <w:basedOn w:val="Fuentedeprrafopredeter"/>
    <w:uiPriority w:val="99"/>
    <w:semiHidden/>
    <w:unhideWhenUsed/>
    <w:rsid w:val="00175583"/>
    <w:rPr>
      <w:color w:val="605E5C"/>
      <w:shd w:val="clear" w:color="auto" w:fill="E1DFDD"/>
    </w:rPr>
  </w:style>
  <w:style w:type="table" w:customStyle="1" w:styleId="Tablaconcuadrcula1">
    <w:name w:val="Tabla con cuadrícula1"/>
    <w:basedOn w:val="Tablanormal"/>
    <w:next w:val="Tablaconcuadrcula"/>
    <w:uiPriority w:val="39"/>
    <w:rsid w:val="00597D49"/>
    <w:pPr>
      <w:spacing w:after="0" w:line="240" w:lineRule="auto"/>
    </w:pPr>
    <w:rPr>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
    <w:name w:val="Tabla con cuadrícula11"/>
    <w:basedOn w:val="Tablanormal"/>
    <w:next w:val="Tablaconcuadrcula"/>
    <w:uiPriority w:val="39"/>
    <w:rsid w:val="00307F9F"/>
    <w:pPr>
      <w:spacing w:after="0" w:line="240" w:lineRule="auto"/>
    </w:pPr>
    <w:rPr>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cinsinresolver">
    <w:name w:val="Unresolved Mention"/>
    <w:basedOn w:val="Fuentedeprrafopredeter"/>
    <w:uiPriority w:val="99"/>
    <w:semiHidden/>
    <w:unhideWhenUsed/>
    <w:rsid w:val="004C7ADE"/>
    <w:rPr>
      <w:color w:val="605E5C"/>
      <w:shd w:val="clear" w:color="auto" w:fill="E1DFDD"/>
    </w:rPr>
  </w:style>
  <w:style w:type="character" w:customStyle="1" w:styleId="Ttulo1Car">
    <w:name w:val="Título 1 Car"/>
    <w:basedOn w:val="Fuentedeprrafopredeter"/>
    <w:link w:val="Ttulo1"/>
    <w:uiPriority w:val="9"/>
    <w:rsid w:val="005579F6"/>
    <w:rPr>
      <w:rFonts w:ascii="Arial" w:eastAsia="Calibri" w:hAnsi="Arial" w:cs="Arial"/>
      <w:b/>
      <w:bCs/>
      <w:sz w:val="20"/>
      <w:szCs w:val="20"/>
    </w:rPr>
  </w:style>
  <w:style w:type="character" w:customStyle="1" w:styleId="Ttulo2Car">
    <w:name w:val="Título 2 Car"/>
    <w:basedOn w:val="Fuentedeprrafopredeter"/>
    <w:link w:val="Ttulo2"/>
    <w:uiPriority w:val="9"/>
    <w:rsid w:val="005579F6"/>
    <w:rPr>
      <w:rFonts w:ascii="Arial" w:eastAsia="Calibri" w:hAnsi="Arial" w:cs="Arial"/>
      <w:bCs/>
      <w:sz w:val="20"/>
      <w:szCs w:val="20"/>
      <w:u w:val="single"/>
    </w:rPr>
  </w:style>
  <w:style w:type="paragraph" w:styleId="Textoindependiente">
    <w:name w:val="Body Text"/>
    <w:basedOn w:val="Normal"/>
    <w:link w:val="TextoindependienteCar"/>
    <w:uiPriority w:val="99"/>
    <w:unhideWhenUsed/>
    <w:rsid w:val="00BB465D"/>
    <w:pPr>
      <w:jc w:val="both"/>
    </w:pPr>
    <w:rPr>
      <w:b w:val="0"/>
      <w:bCs/>
      <w:sz w:val="16"/>
      <w:szCs w:val="16"/>
    </w:rPr>
  </w:style>
  <w:style w:type="character" w:customStyle="1" w:styleId="TextoindependienteCar">
    <w:name w:val="Texto independiente Car"/>
    <w:basedOn w:val="Fuentedeprrafopredeter"/>
    <w:link w:val="Textoindependiente"/>
    <w:uiPriority w:val="99"/>
    <w:rsid w:val="00BB465D"/>
    <w:rPr>
      <w:rFonts w:ascii="Arial" w:eastAsia="Calibri" w:hAnsi="Arial" w:cs="Times New Roman"/>
      <w:bCs/>
      <w:sz w:val="16"/>
      <w:szCs w:val="16"/>
    </w:rPr>
  </w:style>
  <w:style w:type="character" w:customStyle="1" w:styleId="Ttulo3Car">
    <w:name w:val="Título 3 Car"/>
    <w:basedOn w:val="Fuentedeprrafopredeter"/>
    <w:link w:val="Ttulo3"/>
    <w:uiPriority w:val="9"/>
    <w:rsid w:val="004069EF"/>
    <w:rPr>
      <w:rFonts w:ascii="Arial" w:hAnsi="Arial" w:cs="Arial"/>
      <w:b/>
      <w:bCs/>
      <w:sz w:val="16"/>
      <w:szCs w:val="16"/>
    </w:rPr>
  </w:style>
  <w:style w:type="table" w:customStyle="1" w:styleId="Tablaconcuadrcula2">
    <w:name w:val="Tabla con cuadrícula2"/>
    <w:basedOn w:val="Tablanormal"/>
    <w:next w:val="Tablaconcuadrcula"/>
    <w:uiPriority w:val="39"/>
    <w:rsid w:val="000E2F0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936931">
      <w:bodyDiv w:val="1"/>
      <w:marLeft w:val="0"/>
      <w:marRight w:val="0"/>
      <w:marTop w:val="0"/>
      <w:marBottom w:val="0"/>
      <w:divBdr>
        <w:top w:val="none" w:sz="0" w:space="0" w:color="auto"/>
        <w:left w:val="none" w:sz="0" w:space="0" w:color="auto"/>
        <w:bottom w:val="none" w:sz="0" w:space="0" w:color="auto"/>
        <w:right w:val="none" w:sz="0" w:space="0" w:color="auto"/>
      </w:divBdr>
    </w:div>
    <w:div w:id="104690014">
      <w:bodyDiv w:val="1"/>
      <w:marLeft w:val="0"/>
      <w:marRight w:val="0"/>
      <w:marTop w:val="0"/>
      <w:marBottom w:val="0"/>
      <w:divBdr>
        <w:top w:val="none" w:sz="0" w:space="0" w:color="auto"/>
        <w:left w:val="none" w:sz="0" w:space="0" w:color="auto"/>
        <w:bottom w:val="none" w:sz="0" w:space="0" w:color="auto"/>
        <w:right w:val="none" w:sz="0" w:space="0" w:color="auto"/>
      </w:divBdr>
    </w:div>
    <w:div w:id="406266884">
      <w:bodyDiv w:val="1"/>
      <w:marLeft w:val="0"/>
      <w:marRight w:val="0"/>
      <w:marTop w:val="0"/>
      <w:marBottom w:val="0"/>
      <w:divBdr>
        <w:top w:val="none" w:sz="0" w:space="0" w:color="auto"/>
        <w:left w:val="none" w:sz="0" w:space="0" w:color="auto"/>
        <w:bottom w:val="none" w:sz="0" w:space="0" w:color="auto"/>
        <w:right w:val="none" w:sz="0" w:space="0" w:color="auto"/>
      </w:divBdr>
    </w:div>
    <w:div w:id="442843760">
      <w:bodyDiv w:val="1"/>
      <w:marLeft w:val="0"/>
      <w:marRight w:val="0"/>
      <w:marTop w:val="0"/>
      <w:marBottom w:val="0"/>
      <w:divBdr>
        <w:top w:val="none" w:sz="0" w:space="0" w:color="auto"/>
        <w:left w:val="none" w:sz="0" w:space="0" w:color="auto"/>
        <w:bottom w:val="none" w:sz="0" w:space="0" w:color="auto"/>
        <w:right w:val="none" w:sz="0" w:space="0" w:color="auto"/>
      </w:divBdr>
    </w:div>
    <w:div w:id="710223997">
      <w:bodyDiv w:val="1"/>
      <w:marLeft w:val="0"/>
      <w:marRight w:val="0"/>
      <w:marTop w:val="0"/>
      <w:marBottom w:val="0"/>
      <w:divBdr>
        <w:top w:val="none" w:sz="0" w:space="0" w:color="auto"/>
        <w:left w:val="none" w:sz="0" w:space="0" w:color="auto"/>
        <w:bottom w:val="none" w:sz="0" w:space="0" w:color="auto"/>
        <w:right w:val="none" w:sz="0" w:space="0" w:color="auto"/>
      </w:divBdr>
    </w:div>
    <w:div w:id="822743988">
      <w:bodyDiv w:val="1"/>
      <w:marLeft w:val="0"/>
      <w:marRight w:val="0"/>
      <w:marTop w:val="0"/>
      <w:marBottom w:val="0"/>
      <w:divBdr>
        <w:top w:val="none" w:sz="0" w:space="0" w:color="auto"/>
        <w:left w:val="none" w:sz="0" w:space="0" w:color="auto"/>
        <w:bottom w:val="none" w:sz="0" w:space="0" w:color="auto"/>
        <w:right w:val="none" w:sz="0" w:space="0" w:color="auto"/>
      </w:divBdr>
    </w:div>
    <w:div w:id="968514232">
      <w:bodyDiv w:val="1"/>
      <w:marLeft w:val="0"/>
      <w:marRight w:val="0"/>
      <w:marTop w:val="0"/>
      <w:marBottom w:val="0"/>
      <w:divBdr>
        <w:top w:val="none" w:sz="0" w:space="0" w:color="auto"/>
        <w:left w:val="none" w:sz="0" w:space="0" w:color="auto"/>
        <w:bottom w:val="none" w:sz="0" w:space="0" w:color="auto"/>
        <w:right w:val="none" w:sz="0" w:space="0" w:color="auto"/>
      </w:divBdr>
    </w:div>
    <w:div w:id="995498605">
      <w:bodyDiv w:val="1"/>
      <w:marLeft w:val="0"/>
      <w:marRight w:val="0"/>
      <w:marTop w:val="0"/>
      <w:marBottom w:val="0"/>
      <w:divBdr>
        <w:top w:val="none" w:sz="0" w:space="0" w:color="auto"/>
        <w:left w:val="none" w:sz="0" w:space="0" w:color="auto"/>
        <w:bottom w:val="none" w:sz="0" w:space="0" w:color="auto"/>
        <w:right w:val="none" w:sz="0" w:space="0" w:color="auto"/>
      </w:divBdr>
    </w:div>
    <w:div w:id="1162508022">
      <w:bodyDiv w:val="1"/>
      <w:marLeft w:val="0"/>
      <w:marRight w:val="0"/>
      <w:marTop w:val="0"/>
      <w:marBottom w:val="0"/>
      <w:divBdr>
        <w:top w:val="none" w:sz="0" w:space="0" w:color="auto"/>
        <w:left w:val="none" w:sz="0" w:space="0" w:color="auto"/>
        <w:bottom w:val="none" w:sz="0" w:space="0" w:color="auto"/>
        <w:right w:val="none" w:sz="0" w:space="0" w:color="auto"/>
      </w:divBdr>
    </w:div>
    <w:div w:id="1172065893">
      <w:bodyDiv w:val="1"/>
      <w:marLeft w:val="0"/>
      <w:marRight w:val="0"/>
      <w:marTop w:val="0"/>
      <w:marBottom w:val="0"/>
      <w:divBdr>
        <w:top w:val="none" w:sz="0" w:space="0" w:color="auto"/>
        <w:left w:val="none" w:sz="0" w:space="0" w:color="auto"/>
        <w:bottom w:val="none" w:sz="0" w:space="0" w:color="auto"/>
        <w:right w:val="none" w:sz="0" w:space="0" w:color="auto"/>
      </w:divBdr>
    </w:div>
    <w:div w:id="1236939266">
      <w:bodyDiv w:val="1"/>
      <w:marLeft w:val="0"/>
      <w:marRight w:val="0"/>
      <w:marTop w:val="0"/>
      <w:marBottom w:val="0"/>
      <w:divBdr>
        <w:top w:val="none" w:sz="0" w:space="0" w:color="auto"/>
        <w:left w:val="none" w:sz="0" w:space="0" w:color="auto"/>
        <w:bottom w:val="none" w:sz="0" w:space="0" w:color="auto"/>
        <w:right w:val="none" w:sz="0" w:space="0" w:color="auto"/>
      </w:divBdr>
    </w:div>
    <w:div w:id="1379158345">
      <w:bodyDiv w:val="1"/>
      <w:marLeft w:val="0"/>
      <w:marRight w:val="0"/>
      <w:marTop w:val="0"/>
      <w:marBottom w:val="0"/>
      <w:divBdr>
        <w:top w:val="none" w:sz="0" w:space="0" w:color="auto"/>
        <w:left w:val="none" w:sz="0" w:space="0" w:color="auto"/>
        <w:bottom w:val="none" w:sz="0" w:space="0" w:color="auto"/>
        <w:right w:val="none" w:sz="0" w:space="0" w:color="auto"/>
      </w:divBdr>
    </w:div>
    <w:div w:id="1388259084">
      <w:bodyDiv w:val="1"/>
      <w:marLeft w:val="0"/>
      <w:marRight w:val="0"/>
      <w:marTop w:val="0"/>
      <w:marBottom w:val="0"/>
      <w:divBdr>
        <w:top w:val="none" w:sz="0" w:space="0" w:color="auto"/>
        <w:left w:val="none" w:sz="0" w:space="0" w:color="auto"/>
        <w:bottom w:val="none" w:sz="0" w:space="0" w:color="auto"/>
        <w:right w:val="none" w:sz="0" w:space="0" w:color="auto"/>
      </w:divBdr>
    </w:div>
    <w:div w:id="1486438657">
      <w:bodyDiv w:val="1"/>
      <w:marLeft w:val="0"/>
      <w:marRight w:val="0"/>
      <w:marTop w:val="0"/>
      <w:marBottom w:val="0"/>
      <w:divBdr>
        <w:top w:val="none" w:sz="0" w:space="0" w:color="auto"/>
        <w:left w:val="none" w:sz="0" w:space="0" w:color="auto"/>
        <w:bottom w:val="none" w:sz="0" w:space="0" w:color="auto"/>
        <w:right w:val="none" w:sz="0" w:space="0" w:color="auto"/>
      </w:divBdr>
    </w:div>
    <w:div w:id="1557819904">
      <w:bodyDiv w:val="1"/>
      <w:marLeft w:val="0"/>
      <w:marRight w:val="0"/>
      <w:marTop w:val="0"/>
      <w:marBottom w:val="0"/>
      <w:divBdr>
        <w:top w:val="none" w:sz="0" w:space="0" w:color="auto"/>
        <w:left w:val="none" w:sz="0" w:space="0" w:color="auto"/>
        <w:bottom w:val="none" w:sz="0" w:space="0" w:color="auto"/>
        <w:right w:val="none" w:sz="0" w:space="0" w:color="auto"/>
      </w:divBdr>
    </w:div>
    <w:div w:id="1695812522">
      <w:bodyDiv w:val="1"/>
      <w:marLeft w:val="0"/>
      <w:marRight w:val="0"/>
      <w:marTop w:val="0"/>
      <w:marBottom w:val="0"/>
      <w:divBdr>
        <w:top w:val="none" w:sz="0" w:space="0" w:color="auto"/>
        <w:left w:val="none" w:sz="0" w:space="0" w:color="auto"/>
        <w:bottom w:val="none" w:sz="0" w:space="0" w:color="auto"/>
        <w:right w:val="none" w:sz="0" w:space="0" w:color="auto"/>
      </w:divBdr>
    </w:div>
    <w:div w:id="1713964272">
      <w:bodyDiv w:val="1"/>
      <w:marLeft w:val="0"/>
      <w:marRight w:val="0"/>
      <w:marTop w:val="0"/>
      <w:marBottom w:val="0"/>
      <w:divBdr>
        <w:top w:val="none" w:sz="0" w:space="0" w:color="auto"/>
        <w:left w:val="none" w:sz="0" w:space="0" w:color="auto"/>
        <w:bottom w:val="none" w:sz="0" w:space="0" w:color="auto"/>
        <w:right w:val="none" w:sz="0" w:space="0" w:color="auto"/>
      </w:divBdr>
    </w:div>
    <w:div w:id="1907061317">
      <w:bodyDiv w:val="1"/>
      <w:marLeft w:val="0"/>
      <w:marRight w:val="0"/>
      <w:marTop w:val="0"/>
      <w:marBottom w:val="0"/>
      <w:divBdr>
        <w:top w:val="none" w:sz="0" w:space="0" w:color="auto"/>
        <w:left w:val="none" w:sz="0" w:space="0" w:color="auto"/>
        <w:bottom w:val="none" w:sz="0" w:space="0" w:color="auto"/>
        <w:right w:val="none" w:sz="0" w:space="0" w:color="auto"/>
      </w:divBdr>
    </w:div>
    <w:div w:id="2017921969">
      <w:bodyDiv w:val="1"/>
      <w:marLeft w:val="0"/>
      <w:marRight w:val="0"/>
      <w:marTop w:val="0"/>
      <w:marBottom w:val="0"/>
      <w:divBdr>
        <w:top w:val="none" w:sz="0" w:space="0" w:color="auto"/>
        <w:left w:val="none" w:sz="0" w:space="0" w:color="auto"/>
        <w:bottom w:val="none" w:sz="0" w:space="0" w:color="auto"/>
        <w:right w:val="none" w:sz="0" w:space="0" w:color="auto"/>
      </w:divBdr>
    </w:div>
    <w:div w:id="2094011501">
      <w:bodyDiv w:val="1"/>
      <w:marLeft w:val="0"/>
      <w:marRight w:val="0"/>
      <w:marTop w:val="0"/>
      <w:marBottom w:val="0"/>
      <w:divBdr>
        <w:top w:val="none" w:sz="0" w:space="0" w:color="auto"/>
        <w:left w:val="none" w:sz="0" w:space="0" w:color="auto"/>
        <w:bottom w:val="none" w:sz="0" w:space="0" w:color="auto"/>
        <w:right w:val="none" w:sz="0" w:space="0" w:color="auto"/>
      </w:divBdr>
    </w:div>
    <w:div w:id="21441574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j01prmpalpayon@cendoj.ramajudicial.gov.co"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jpeg"/></Relationships>
</file>

<file path=word/_rels/footer1.xml.rels><?xml version="1.0" encoding="UTF-8" standalone="yes"?>
<Relationships xmlns="http://schemas.openxmlformats.org/package/2006/relationships"><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0C2616-2819-4569-99DB-F99144D316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334</TotalTime>
  <Pages>11</Pages>
  <Words>4693</Words>
  <Characters>25815</Characters>
  <Application>Microsoft Office Word</Application>
  <DocSecurity>0</DocSecurity>
  <Lines>215</Lines>
  <Paragraphs>60</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30448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German Infante Alvarez</dc:creator>
  <cp:keywords/>
  <dc:description/>
  <cp:lastModifiedBy>Daniel José Vargas</cp:lastModifiedBy>
  <cp:revision>60</cp:revision>
  <cp:lastPrinted>2021-08-05T18:50:00Z</cp:lastPrinted>
  <dcterms:created xsi:type="dcterms:W3CDTF">2026-05-26T15:54:00Z</dcterms:created>
  <dcterms:modified xsi:type="dcterms:W3CDTF">2026-05-27T16:03:00Z</dcterms:modified>
</cp:coreProperties>
</file>